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C791" w14:textId="77777777" w:rsidR="005929C8" w:rsidRPr="005929C8" w:rsidRDefault="452AF9CB" w:rsidP="5C81B748">
      <w:pPr>
        <w:spacing w:after="0"/>
        <w:jc w:val="both"/>
        <w:rPr>
          <w:rFonts w:ascii="Verdana" w:hAnsi="Verdana"/>
          <w:b/>
          <w:bCs/>
          <w:sz w:val="24"/>
          <w:szCs w:val="24"/>
          <w:lang w:val="ro-MD"/>
        </w:rPr>
      </w:pPr>
      <w:r w:rsidRPr="5C81B748">
        <w:rPr>
          <w:rFonts w:ascii="Verdana" w:hAnsi="Verdana"/>
          <w:b/>
          <w:bCs/>
          <w:sz w:val="24"/>
          <w:szCs w:val="24"/>
          <w:lang w:val="ro-MD"/>
        </w:rPr>
        <w:t xml:space="preserve">FORMULARUL OFERTA FINANCIARĂ </w:t>
      </w:r>
    </w:p>
    <w:p w14:paraId="3E1AD7AC" w14:textId="77777777" w:rsidR="005929C8" w:rsidRPr="005929C8" w:rsidRDefault="005929C8" w:rsidP="5C81B748">
      <w:pPr>
        <w:spacing w:after="0"/>
        <w:jc w:val="both"/>
        <w:rPr>
          <w:rFonts w:ascii="Verdana" w:hAnsi="Verdana"/>
          <w:sz w:val="20"/>
          <w:szCs w:val="20"/>
          <w:lang w:val="ro-MD"/>
        </w:rPr>
      </w:pPr>
    </w:p>
    <w:p w14:paraId="2F1CC2EE" w14:textId="77777777" w:rsidR="005929C8" w:rsidRPr="005929C8" w:rsidRDefault="452AF9CB" w:rsidP="5C81B748">
      <w:pPr>
        <w:pBdr>
          <w:top w:val="single" w:sz="4" w:space="1" w:color="auto"/>
          <w:left w:val="single" w:sz="4" w:space="4" w:color="auto"/>
          <w:bottom w:val="single" w:sz="4" w:space="1" w:color="auto"/>
          <w:right w:val="single" w:sz="4" w:space="4" w:color="auto"/>
        </w:pBdr>
        <w:shd w:val="clear" w:color="auto" w:fill="BDD6EE" w:themeFill="accent1" w:themeFillTint="66"/>
        <w:spacing w:after="0"/>
        <w:jc w:val="both"/>
        <w:rPr>
          <w:rFonts w:ascii="Verdana" w:hAnsi="Verdana"/>
          <w:b/>
          <w:bCs/>
          <w:sz w:val="20"/>
          <w:szCs w:val="20"/>
          <w:lang w:val="ro-MD"/>
        </w:rPr>
      </w:pPr>
      <w:r w:rsidRPr="5C81B748">
        <w:rPr>
          <w:rFonts w:ascii="Verdana" w:hAnsi="Verdana"/>
          <w:b/>
          <w:bCs/>
          <w:sz w:val="20"/>
          <w:szCs w:val="20"/>
          <w:lang w:val="ro-MD"/>
        </w:rPr>
        <w:t xml:space="preserve">DETALII PRIVIND PREGĂTIREA OFERTEI FINANCIARE </w:t>
      </w:r>
    </w:p>
    <w:p w14:paraId="58BFC7CD"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Ofertantul trebuie să pregătească oferta Financiară urmând formatul de mai jos și să o separe de oferta tehnică, așa cum este indicat în Instrucțiunile pentru ofertanți. Orice informație financiară furnizată în propunerea tehnică poate duce la descalificarea ofertantului. </w:t>
      </w:r>
    </w:p>
    <w:p w14:paraId="31E89746" w14:textId="77777777" w:rsidR="005929C8" w:rsidRDefault="005929C8" w:rsidP="5C81B748">
      <w:pPr>
        <w:spacing w:after="0"/>
        <w:jc w:val="both"/>
        <w:rPr>
          <w:rFonts w:ascii="Verdana" w:hAnsi="Verdana"/>
          <w:sz w:val="20"/>
          <w:szCs w:val="20"/>
          <w:lang w:val="ro-MD"/>
        </w:rPr>
      </w:pPr>
    </w:p>
    <w:p w14:paraId="79BAB10E" w14:textId="77777777" w:rsidR="005929C8" w:rsidRPr="005929C8" w:rsidRDefault="452AF9CB" w:rsidP="5C81B748">
      <w:pPr>
        <w:pBdr>
          <w:top w:val="single" w:sz="4" w:space="1" w:color="auto"/>
          <w:left w:val="single" w:sz="4" w:space="4" w:color="auto"/>
          <w:bottom w:val="single" w:sz="4" w:space="1" w:color="auto"/>
          <w:right w:val="single" w:sz="4" w:space="4" w:color="auto"/>
        </w:pBdr>
        <w:shd w:val="clear" w:color="auto" w:fill="BDD6EE" w:themeFill="accent1" w:themeFillTint="66"/>
        <w:spacing w:after="0"/>
        <w:jc w:val="both"/>
        <w:rPr>
          <w:rFonts w:ascii="Verdana" w:hAnsi="Verdana"/>
          <w:b/>
          <w:bCs/>
          <w:sz w:val="20"/>
          <w:szCs w:val="20"/>
          <w:lang w:val="ro-MD"/>
        </w:rPr>
      </w:pPr>
      <w:r w:rsidRPr="5C81B748">
        <w:rPr>
          <w:rFonts w:ascii="Verdana" w:hAnsi="Verdana"/>
          <w:b/>
          <w:bCs/>
          <w:sz w:val="20"/>
          <w:szCs w:val="20"/>
          <w:lang w:val="ro-MD"/>
        </w:rPr>
        <w:t xml:space="preserve">COSTURI </w:t>
      </w:r>
    </w:p>
    <w:p w14:paraId="223331BC"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Oferta financiară ar trebui să se alinieze cerințelor din Termenii de referință și ofertei tehnice a ofertantului, și va include toate cheltuielile legate de îndeplinirea sarcinilor indicate în Termenii de referință. </w:t>
      </w:r>
    </w:p>
    <w:p w14:paraId="5BC40B3F"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Cheltuielile de cazare și transport, inclusive cele necesare pentru implementarea sarcinilor Specialistului vor fi suportate de Keystone Moldova </w:t>
      </w:r>
    </w:p>
    <w:p w14:paraId="3F49363E" w14:textId="77777777" w:rsidR="005929C8" w:rsidRDefault="005929C8" w:rsidP="5C81B748">
      <w:pPr>
        <w:spacing w:after="0"/>
        <w:jc w:val="both"/>
        <w:rPr>
          <w:rFonts w:ascii="Verdana" w:hAnsi="Verdana"/>
          <w:sz w:val="20"/>
          <w:szCs w:val="20"/>
          <w:lang w:val="ro-MD"/>
        </w:rPr>
      </w:pPr>
    </w:p>
    <w:p w14:paraId="42C5FC3C" w14:textId="77777777" w:rsidR="005929C8" w:rsidRPr="005929C8" w:rsidRDefault="452AF9CB" w:rsidP="5C81B748">
      <w:pPr>
        <w:pBdr>
          <w:top w:val="single" w:sz="4" w:space="1" w:color="auto"/>
          <w:left w:val="single" w:sz="4" w:space="4" w:color="auto"/>
          <w:bottom w:val="single" w:sz="4" w:space="1" w:color="auto"/>
          <w:right w:val="single" w:sz="4" w:space="4" w:color="auto"/>
        </w:pBdr>
        <w:shd w:val="clear" w:color="auto" w:fill="BDD6EE" w:themeFill="accent1" w:themeFillTint="66"/>
        <w:spacing w:after="0"/>
        <w:jc w:val="both"/>
        <w:rPr>
          <w:rFonts w:ascii="Verdana" w:hAnsi="Verdana"/>
          <w:b/>
          <w:bCs/>
          <w:sz w:val="20"/>
          <w:szCs w:val="20"/>
          <w:lang w:val="ro-MD"/>
        </w:rPr>
      </w:pPr>
      <w:r w:rsidRPr="5C81B748">
        <w:rPr>
          <w:rFonts w:ascii="Verdana" w:hAnsi="Verdana"/>
          <w:b/>
          <w:bCs/>
          <w:sz w:val="20"/>
          <w:szCs w:val="20"/>
          <w:lang w:val="ro-MD"/>
        </w:rPr>
        <w:t xml:space="preserve">TAXE </w:t>
      </w:r>
    </w:p>
    <w:p w14:paraId="4A60CE33"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Valoarea ofertei candidatului va reprezenta suma NETĂ. </w:t>
      </w:r>
    </w:p>
    <w:p w14:paraId="0D669FAB"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Angajatorul va calcula și va achita toate contribuțiile legale aplicabile ale angajatului și angajatorului (contribuții de asigurări sociale - 24% + contribuții de asigurări medicale - 9% + Impozitul pe venit). </w:t>
      </w:r>
    </w:p>
    <w:p w14:paraId="11B6C480" w14:textId="77777777" w:rsidR="005929C8" w:rsidRDefault="005929C8" w:rsidP="5C81B748">
      <w:pPr>
        <w:spacing w:after="0"/>
        <w:jc w:val="both"/>
        <w:rPr>
          <w:rFonts w:ascii="Verdana" w:hAnsi="Verdana"/>
          <w:sz w:val="20"/>
          <w:szCs w:val="20"/>
          <w:lang w:val="ro-MD"/>
        </w:rPr>
      </w:pPr>
    </w:p>
    <w:p w14:paraId="4466A93C" w14:textId="77777777" w:rsidR="005929C8" w:rsidRPr="005929C8" w:rsidRDefault="452AF9CB" w:rsidP="5C81B748">
      <w:pPr>
        <w:pBdr>
          <w:top w:val="single" w:sz="4" w:space="1" w:color="auto"/>
          <w:left w:val="single" w:sz="4" w:space="4" w:color="auto"/>
          <w:bottom w:val="single" w:sz="4" w:space="1" w:color="auto"/>
          <w:right w:val="single" w:sz="4" w:space="4" w:color="auto"/>
        </w:pBdr>
        <w:shd w:val="clear" w:color="auto" w:fill="BDD6EE" w:themeFill="accent1" w:themeFillTint="66"/>
        <w:spacing w:after="0"/>
        <w:jc w:val="both"/>
        <w:rPr>
          <w:rFonts w:ascii="Verdana" w:hAnsi="Verdana"/>
          <w:b/>
          <w:bCs/>
          <w:sz w:val="20"/>
          <w:szCs w:val="20"/>
          <w:lang w:val="ro-MD"/>
        </w:rPr>
      </w:pPr>
      <w:r w:rsidRPr="5C81B748">
        <w:rPr>
          <w:rFonts w:ascii="Verdana" w:hAnsi="Verdana"/>
          <w:b/>
          <w:bCs/>
          <w:sz w:val="20"/>
          <w:szCs w:val="20"/>
          <w:lang w:val="ro-MD"/>
        </w:rPr>
        <w:t xml:space="preserve">ERORI ÎN OFERTELE FINANCIARE </w:t>
      </w:r>
    </w:p>
    <w:p w14:paraId="451099E3"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Pentru ofertele financiare analizate, Keystone Moldova verifică și corectează erorile aritmetice după urmează: </w:t>
      </w:r>
    </w:p>
    <w:p w14:paraId="14A56B44"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1. în cazul în care există o discrepanță între prețul unitar și totalul articolului de linie care se obține prin înmulțirea prețului unitar cu cantitatea, prețul unitar prevalează, iar totalul articolului pe linie se corectează; </w:t>
      </w:r>
    </w:p>
    <w:p w14:paraId="04BA7AC4"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2. în cazul în care există o eroare într-un total corespunzătoare adăugării sau scăderii sub totalurilor, sub totalurile prevalează, iar totalul se corectează. </w:t>
      </w:r>
    </w:p>
    <w:p w14:paraId="1DD418B3" w14:textId="77777777" w:rsidR="005929C8" w:rsidRDefault="005929C8" w:rsidP="5C81B748">
      <w:pPr>
        <w:spacing w:after="0"/>
        <w:jc w:val="both"/>
        <w:rPr>
          <w:rFonts w:ascii="Verdana" w:hAnsi="Verdana"/>
          <w:sz w:val="20"/>
          <w:szCs w:val="20"/>
          <w:lang w:val="ro-MD"/>
        </w:rPr>
      </w:pPr>
    </w:p>
    <w:p w14:paraId="42001C9F"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În cazul în care ofertantul nu acceptă corectarea erorilor făcute de Instituție, propunerea va fi respinsă. </w:t>
      </w:r>
    </w:p>
    <w:p w14:paraId="31969542" w14:textId="77777777" w:rsidR="005929C8" w:rsidRDefault="005929C8" w:rsidP="5C81B748">
      <w:pPr>
        <w:spacing w:after="0"/>
        <w:jc w:val="both"/>
        <w:rPr>
          <w:rFonts w:ascii="Verdana" w:hAnsi="Verdana"/>
          <w:sz w:val="20"/>
          <w:szCs w:val="20"/>
          <w:lang w:val="ro-MD"/>
        </w:rPr>
      </w:pPr>
    </w:p>
    <w:p w14:paraId="196541D7" w14:textId="77777777" w:rsidR="005929C8" w:rsidRPr="005929C8" w:rsidRDefault="452AF9CB" w:rsidP="5C81B748">
      <w:pPr>
        <w:pBdr>
          <w:top w:val="single" w:sz="4" w:space="1" w:color="auto"/>
          <w:left w:val="single" w:sz="4" w:space="4" w:color="auto"/>
          <w:bottom w:val="single" w:sz="4" w:space="1" w:color="auto"/>
          <w:right w:val="single" w:sz="4" w:space="4" w:color="auto"/>
        </w:pBdr>
        <w:shd w:val="clear" w:color="auto" w:fill="BDD6EE" w:themeFill="accent1" w:themeFillTint="66"/>
        <w:spacing w:after="0"/>
        <w:jc w:val="both"/>
        <w:rPr>
          <w:rFonts w:ascii="Verdana" w:hAnsi="Verdana"/>
          <w:b/>
          <w:bCs/>
          <w:sz w:val="20"/>
          <w:szCs w:val="20"/>
          <w:lang w:val="ro-MD"/>
        </w:rPr>
      </w:pPr>
      <w:r w:rsidRPr="5C81B748">
        <w:rPr>
          <w:rFonts w:ascii="Verdana" w:hAnsi="Verdana"/>
          <w:b/>
          <w:bCs/>
          <w:sz w:val="20"/>
          <w:szCs w:val="20"/>
          <w:lang w:val="ro-MD"/>
        </w:rPr>
        <w:t xml:space="preserve">PERIOADA DE CONTRACTARE ȘI VOLUMUL SERVICIILOR </w:t>
      </w:r>
    </w:p>
    <w:p w14:paraId="58F86997" w14:textId="58C6DD60"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Prestatorul de servicii va fi contactat pentru un maxim de </w:t>
      </w:r>
      <w:r w:rsidR="5F27FE7D" w:rsidRPr="5C81B748">
        <w:rPr>
          <w:rFonts w:ascii="Verdana" w:hAnsi="Verdana"/>
          <w:sz w:val="20"/>
          <w:szCs w:val="20"/>
          <w:lang w:val="ro-MD"/>
        </w:rPr>
        <w:t>14</w:t>
      </w:r>
      <w:r w:rsidRPr="5C81B748">
        <w:rPr>
          <w:rFonts w:ascii="Verdana" w:hAnsi="Verdana"/>
          <w:sz w:val="20"/>
          <w:szCs w:val="20"/>
          <w:lang w:val="ro-MD"/>
        </w:rPr>
        <w:t xml:space="preserve"> zile de consultanță în perioada </w:t>
      </w:r>
      <w:r w:rsidR="5F27FE7D" w:rsidRPr="5C81B748">
        <w:rPr>
          <w:rFonts w:ascii="Verdana" w:hAnsi="Verdana"/>
          <w:sz w:val="20"/>
          <w:szCs w:val="20"/>
          <w:lang w:val="ro-MD"/>
        </w:rPr>
        <w:t>februarie</w:t>
      </w:r>
      <w:r w:rsidRPr="5C81B748">
        <w:rPr>
          <w:rFonts w:ascii="Verdana" w:hAnsi="Verdana"/>
          <w:sz w:val="20"/>
          <w:szCs w:val="20"/>
          <w:lang w:val="ro-MD"/>
        </w:rPr>
        <w:t xml:space="preserve"> 202</w:t>
      </w:r>
      <w:r w:rsidR="5F27FE7D" w:rsidRPr="5C81B748">
        <w:rPr>
          <w:rFonts w:ascii="Verdana" w:hAnsi="Verdana"/>
          <w:sz w:val="20"/>
          <w:szCs w:val="20"/>
          <w:lang w:val="ro-MD"/>
        </w:rPr>
        <w:t xml:space="preserve">6. </w:t>
      </w:r>
    </w:p>
    <w:p w14:paraId="52320749" w14:textId="77777777" w:rsidR="005929C8" w:rsidRDefault="005929C8" w:rsidP="5C81B748">
      <w:pPr>
        <w:spacing w:after="0"/>
        <w:jc w:val="both"/>
        <w:rPr>
          <w:rFonts w:ascii="Verdana" w:hAnsi="Verdana"/>
          <w:sz w:val="20"/>
          <w:szCs w:val="20"/>
          <w:lang w:val="ro-MD"/>
        </w:rPr>
      </w:pPr>
    </w:p>
    <w:p w14:paraId="2BC600C0" w14:textId="77777777" w:rsidR="005929C8" w:rsidRPr="005929C8" w:rsidRDefault="452AF9CB" w:rsidP="5C81B748">
      <w:pPr>
        <w:pBdr>
          <w:top w:val="single" w:sz="4" w:space="1" w:color="auto"/>
          <w:left w:val="single" w:sz="4" w:space="4" w:color="auto"/>
          <w:bottom w:val="single" w:sz="4" w:space="1" w:color="auto"/>
          <w:right w:val="single" w:sz="4" w:space="4" w:color="auto"/>
        </w:pBdr>
        <w:shd w:val="clear" w:color="auto" w:fill="BDD6EE" w:themeFill="accent1" w:themeFillTint="66"/>
        <w:spacing w:after="0"/>
        <w:jc w:val="both"/>
        <w:rPr>
          <w:rFonts w:ascii="Verdana" w:hAnsi="Verdana"/>
          <w:b/>
          <w:bCs/>
          <w:sz w:val="20"/>
          <w:szCs w:val="20"/>
          <w:lang w:val="ro-MD"/>
        </w:rPr>
      </w:pPr>
      <w:r w:rsidRPr="5C81B748">
        <w:rPr>
          <w:rFonts w:ascii="Verdana" w:hAnsi="Verdana"/>
          <w:b/>
          <w:bCs/>
          <w:sz w:val="20"/>
          <w:szCs w:val="20"/>
          <w:lang w:val="ro-MD"/>
        </w:rPr>
        <w:t xml:space="preserve">CONDIȚII DE CONTRACTARE </w:t>
      </w:r>
    </w:p>
    <w:p w14:paraId="327D7F19"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Keystone Moldova va încheia un contract de prestări servicii cu persoana fizică selectată, în vederea realizării livrabilelor prevăzute în Termenii de Referință. </w:t>
      </w:r>
    </w:p>
    <w:p w14:paraId="72B7228B" w14:textId="77777777" w:rsidR="005929C8" w:rsidRDefault="005929C8" w:rsidP="5C81B748">
      <w:pPr>
        <w:spacing w:after="0"/>
        <w:jc w:val="both"/>
        <w:rPr>
          <w:rFonts w:ascii="Verdana" w:hAnsi="Verdana"/>
          <w:sz w:val="20"/>
          <w:szCs w:val="20"/>
          <w:lang w:val="ro-MD"/>
        </w:rPr>
      </w:pPr>
    </w:p>
    <w:p w14:paraId="08AE0E18" w14:textId="1381B987" w:rsidR="00F12C76" w:rsidRDefault="452AF9CB" w:rsidP="5C81B748">
      <w:pPr>
        <w:spacing w:after="0"/>
        <w:jc w:val="both"/>
        <w:rPr>
          <w:rFonts w:ascii="Verdana" w:hAnsi="Verdana"/>
          <w:sz w:val="20"/>
          <w:szCs w:val="20"/>
          <w:lang w:val="ro-MD"/>
        </w:rPr>
      </w:pPr>
      <w:r w:rsidRPr="5C81B748">
        <w:rPr>
          <w:rFonts w:ascii="Verdana" w:hAnsi="Verdana"/>
          <w:sz w:val="20"/>
          <w:szCs w:val="20"/>
          <w:lang w:val="ro-MD"/>
        </w:rPr>
        <w:t>Plata serviciilor se va efectua pe baza unui Act de predare-primire, semnat de ambele părți, care va însoți raportul narativ privind desfășurarea atelierelor regionale și consolidarea celor 12 planuri de acțiune. Fiecare plan de acțiune trebuie să fie aprobat și semnat de către Agențiile Teritoriale de Asistență Socială (ATAS).</w:t>
      </w:r>
    </w:p>
    <w:p w14:paraId="6A3251D5" w14:textId="77777777" w:rsidR="005929C8" w:rsidRDefault="005929C8" w:rsidP="5C81B748">
      <w:pPr>
        <w:spacing w:after="0"/>
        <w:jc w:val="both"/>
        <w:rPr>
          <w:rFonts w:ascii="Verdana" w:hAnsi="Verdana"/>
          <w:sz w:val="20"/>
          <w:szCs w:val="20"/>
          <w:lang w:val="ro-MD"/>
        </w:rPr>
      </w:pPr>
    </w:p>
    <w:tbl>
      <w:tblPr>
        <w:tblStyle w:val="TableGrid"/>
        <w:tblW w:w="0" w:type="auto"/>
        <w:tblLook w:val="04A0" w:firstRow="1" w:lastRow="0" w:firstColumn="1" w:lastColumn="0" w:noHBand="0" w:noVBand="1"/>
      </w:tblPr>
      <w:tblGrid>
        <w:gridCol w:w="2336"/>
        <w:gridCol w:w="4180"/>
        <w:gridCol w:w="850"/>
        <w:gridCol w:w="1978"/>
      </w:tblGrid>
      <w:tr w:rsidR="005929C8" w14:paraId="577F9017" w14:textId="77777777" w:rsidTr="7D8B27F4">
        <w:tc>
          <w:tcPr>
            <w:tcW w:w="2336" w:type="dxa"/>
          </w:tcPr>
          <w:p w14:paraId="2D85CBF8" w14:textId="7F4369B7" w:rsidR="005929C8" w:rsidRPr="005929C8" w:rsidRDefault="452AF9CB" w:rsidP="5C81B748">
            <w:pPr>
              <w:jc w:val="both"/>
              <w:rPr>
                <w:rFonts w:ascii="Verdana" w:hAnsi="Verdana"/>
                <w:b/>
                <w:bCs/>
                <w:sz w:val="20"/>
                <w:szCs w:val="20"/>
                <w:lang w:val="ro-MD"/>
              </w:rPr>
            </w:pPr>
            <w:r w:rsidRPr="5C81B748">
              <w:rPr>
                <w:rFonts w:ascii="Verdana" w:hAnsi="Verdana"/>
                <w:b/>
                <w:bCs/>
                <w:sz w:val="20"/>
                <w:szCs w:val="20"/>
                <w:lang w:val="ro-MD"/>
              </w:rPr>
              <w:t>Ofertant:</w:t>
            </w:r>
          </w:p>
        </w:tc>
        <w:tc>
          <w:tcPr>
            <w:tcW w:w="4180" w:type="dxa"/>
          </w:tcPr>
          <w:p w14:paraId="675038BE" w14:textId="77777777" w:rsidR="005929C8" w:rsidRPr="005929C8" w:rsidRDefault="452AF9CB" w:rsidP="5C81B748">
            <w:pPr>
              <w:jc w:val="both"/>
              <w:rPr>
                <w:rFonts w:ascii="Verdana" w:hAnsi="Verdana"/>
                <w:b/>
                <w:bCs/>
                <w:sz w:val="20"/>
                <w:szCs w:val="20"/>
                <w:lang w:val="ro-MD"/>
              </w:rPr>
            </w:pPr>
            <w:r w:rsidRPr="5C81B748">
              <w:rPr>
                <w:rFonts w:ascii="Verdana" w:hAnsi="Verdana"/>
                <w:b/>
                <w:bCs/>
                <w:sz w:val="20"/>
                <w:szCs w:val="20"/>
                <w:lang w:val="ro-MD"/>
              </w:rPr>
              <w:t>[A se completa de către ofertant]</w:t>
            </w:r>
          </w:p>
          <w:p w14:paraId="3FACF889" w14:textId="77777777" w:rsidR="005929C8" w:rsidRPr="005929C8" w:rsidRDefault="005929C8" w:rsidP="5C81B748">
            <w:pPr>
              <w:jc w:val="both"/>
              <w:rPr>
                <w:rFonts w:ascii="Verdana" w:hAnsi="Verdana"/>
                <w:b/>
                <w:bCs/>
                <w:sz w:val="20"/>
                <w:szCs w:val="20"/>
                <w:lang w:val="ro-MD"/>
              </w:rPr>
            </w:pPr>
          </w:p>
          <w:p w14:paraId="00EEAC29" w14:textId="26EC3AD1" w:rsidR="005929C8" w:rsidRPr="005929C8" w:rsidRDefault="005929C8" w:rsidP="5C81B748">
            <w:pPr>
              <w:jc w:val="both"/>
              <w:rPr>
                <w:rFonts w:ascii="Verdana" w:hAnsi="Verdana"/>
                <w:b/>
                <w:bCs/>
                <w:sz w:val="20"/>
                <w:szCs w:val="20"/>
                <w:lang w:val="ro-MD"/>
              </w:rPr>
            </w:pPr>
          </w:p>
        </w:tc>
        <w:tc>
          <w:tcPr>
            <w:tcW w:w="850" w:type="dxa"/>
          </w:tcPr>
          <w:p w14:paraId="5B854DC9" w14:textId="77777777" w:rsidR="005929C8" w:rsidRPr="005929C8" w:rsidRDefault="452AF9CB" w:rsidP="5C81B748">
            <w:pPr>
              <w:jc w:val="both"/>
              <w:rPr>
                <w:rFonts w:ascii="Verdana" w:hAnsi="Verdana"/>
                <w:sz w:val="20"/>
                <w:szCs w:val="20"/>
                <w:lang w:val="ro-MD"/>
              </w:rPr>
            </w:pPr>
            <w:r w:rsidRPr="5C81B748">
              <w:rPr>
                <w:rFonts w:ascii="Verdana" w:hAnsi="Verdana"/>
                <w:sz w:val="20"/>
                <w:szCs w:val="20"/>
                <w:lang w:val="ro-MD"/>
              </w:rPr>
              <w:t>Data:</w:t>
            </w:r>
          </w:p>
          <w:p w14:paraId="5F4F43CF" w14:textId="77777777" w:rsidR="005929C8" w:rsidRDefault="005929C8" w:rsidP="5C81B748">
            <w:pPr>
              <w:jc w:val="both"/>
              <w:rPr>
                <w:rFonts w:ascii="Verdana" w:hAnsi="Verdana"/>
                <w:sz w:val="20"/>
                <w:szCs w:val="20"/>
                <w:lang w:val="ro-MD"/>
              </w:rPr>
            </w:pPr>
          </w:p>
        </w:tc>
        <w:tc>
          <w:tcPr>
            <w:tcW w:w="1978" w:type="dxa"/>
          </w:tcPr>
          <w:p w14:paraId="7EE94EC3" w14:textId="77777777" w:rsidR="005929C8" w:rsidRDefault="005929C8" w:rsidP="5C81B748">
            <w:pPr>
              <w:jc w:val="both"/>
              <w:rPr>
                <w:rFonts w:ascii="Verdana" w:hAnsi="Verdana"/>
                <w:sz w:val="20"/>
                <w:szCs w:val="20"/>
                <w:lang w:val="ro-MD"/>
              </w:rPr>
            </w:pPr>
          </w:p>
        </w:tc>
      </w:tr>
      <w:tr w:rsidR="005929C8" w14:paraId="39DB3C98" w14:textId="77777777" w:rsidTr="7D8B27F4">
        <w:tc>
          <w:tcPr>
            <w:tcW w:w="2336" w:type="dxa"/>
          </w:tcPr>
          <w:p w14:paraId="15415DE5" w14:textId="4D82ABA0" w:rsidR="005929C8" w:rsidRPr="005929C8" w:rsidRDefault="452AF9CB" w:rsidP="5C81B748">
            <w:pPr>
              <w:jc w:val="both"/>
              <w:rPr>
                <w:rFonts w:ascii="Verdana" w:hAnsi="Verdana"/>
                <w:b/>
                <w:bCs/>
                <w:sz w:val="20"/>
                <w:szCs w:val="20"/>
                <w:lang w:val="ro-MD"/>
              </w:rPr>
            </w:pPr>
            <w:r w:rsidRPr="5C81B748">
              <w:rPr>
                <w:rFonts w:ascii="Verdana" w:hAnsi="Verdana"/>
                <w:b/>
                <w:bCs/>
                <w:sz w:val="20"/>
                <w:szCs w:val="20"/>
                <w:lang w:val="ro-MD"/>
              </w:rPr>
              <w:t xml:space="preserve">Referință CDO: </w:t>
            </w:r>
          </w:p>
          <w:p w14:paraId="42FB8363" w14:textId="77777777" w:rsidR="005929C8" w:rsidRDefault="005929C8" w:rsidP="5C81B748">
            <w:pPr>
              <w:jc w:val="both"/>
              <w:rPr>
                <w:rFonts w:ascii="Verdana" w:hAnsi="Verdana"/>
                <w:sz w:val="20"/>
                <w:szCs w:val="20"/>
                <w:lang w:val="ro-MD"/>
              </w:rPr>
            </w:pPr>
          </w:p>
        </w:tc>
        <w:tc>
          <w:tcPr>
            <w:tcW w:w="7008" w:type="dxa"/>
            <w:gridSpan w:val="3"/>
          </w:tcPr>
          <w:p w14:paraId="055232D8" w14:textId="77777777" w:rsidR="00CC518A" w:rsidRDefault="00CC518A" w:rsidP="5C81B748">
            <w:pPr>
              <w:jc w:val="both"/>
              <w:rPr>
                <w:rFonts w:ascii="Verdana" w:hAnsi="Verdana"/>
                <w:b/>
                <w:bCs/>
                <w:sz w:val="20"/>
                <w:szCs w:val="20"/>
                <w:lang w:val="ro-MD"/>
              </w:rPr>
            </w:pPr>
            <w:r w:rsidRPr="0068047A">
              <w:rPr>
                <w:rFonts w:ascii="Verdana" w:hAnsi="Verdana"/>
                <w:b/>
                <w:bCs/>
                <w:sz w:val="20"/>
                <w:szCs w:val="20"/>
              </w:rPr>
              <w:t>2025_IWPR_BREN_RTO_BCC_00</w:t>
            </w:r>
            <w:r w:rsidRPr="0068047A">
              <w:rPr>
                <w:rFonts w:ascii="Verdana" w:hAnsi="Verdana"/>
                <w:b/>
                <w:bCs/>
                <w:sz w:val="20"/>
                <w:szCs w:val="20"/>
                <w:lang w:val="ro-MD"/>
              </w:rPr>
              <w:t>2</w:t>
            </w:r>
            <w:r>
              <w:rPr>
                <w:rFonts w:ascii="Verdana" w:hAnsi="Verdana"/>
                <w:b/>
                <w:bCs/>
                <w:sz w:val="20"/>
                <w:szCs w:val="20"/>
                <w:lang w:val="ro-MD"/>
              </w:rPr>
              <w:t xml:space="preserve"> </w:t>
            </w:r>
          </w:p>
          <w:p w14:paraId="57357BCD" w14:textId="1310C495" w:rsidR="005929C8" w:rsidRDefault="452AF9CB" w:rsidP="5C81B748">
            <w:pPr>
              <w:jc w:val="both"/>
              <w:rPr>
                <w:rFonts w:ascii="Verdana" w:hAnsi="Verdana"/>
                <w:sz w:val="20"/>
                <w:szCs w:val="20"/>
                <w:lang w:val="ro-MD"/>
              </w:rPr>
            </w:pPr>
            <w:r w:rsidRPr="5C81B748">
              <w:rPr>
                <w:rFonts w:ascii="Verdana" w:hAnsi="Verdana"/>
                <w:sz w:val="20"/>
                <w:szCs w:val="20"/>
                <w:lang w:val="ro-MD"/>
              </w:rPr>
              <w:t xml:space="preserve">Concurs pentru contractarea serviciilor unui specialist ce va facilita 4 ateliere </w:t>
            </w:r>
          </w:p>
        </w:tc>
      </w:tr>
    </w:tbl>
    <w:p w14:paraId="6E1F1AAC" w14:textId="77777777" w:rsidR="005929C8" w:rsidRDefault="005929C8" w:rsidP="5C81B748">
      <w:pPr>
        <w:spacing w:after="0"/>
        <w:jc w:val="both"/>
        <w:rPr>
          <w:rFonts w:ascii="Verdana" w:hAnsi="Verdana"/>
          <w:sz w:val="20"/>
          <w:szCs w:val="20"/>
          <w:lang w:val="ro-MD"/>
        </w:rPr>
      </w:pPr>
    </w:p>
    <w:p w14:paraId="7CA18EA4"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Prin prezenta, ne propunem să prestăm serviciile în conformitate cu cererea dumneavoastră de oferte și propunerea noastră. În continuare, prezentăm propunerea, care include oferta financiară. </w:t>
      </w:r>
    </w:p>
    <w:p w14:paraId="1ADF3709" w14:textId="77777777" w:rsidR="005929C8" w:rsidRDefault="005929C8" w:rsidP="5C81B748">
      <w:pPr>
        <w:spacing w:after="0"/>
        <w:jc w:val="both"/>
        <w:rPr>
          <w:rFonts w:ascii="Verdana" w:hAnsi="Verdana"/>
          <w:sz w:val="20"/>
          <w:szCs w:val="20"/>
          <w:lang w:val="ro-MD"/>
        </w:rPr>
      </w:pPr>
    </w:p>
    <w:p w14:paraId="72B81E41" w14:textId="77777777" w:rsidR="005929C8" w:rsidRPr="005929C8" w:rsidRDefault="452AF9CB" w:rsidP="5C81B748">
      <w:pPr>
        <w:spacing w:after="0"/>
        <w:jc w:val="both"/>
        <w:rPr>
          <w:rFonts w:ascii="Verdana" w:hAnsi="Verdana"/>
          <w:b/>
          <w:bCs/>
          <w:sz w:val="20"/>
          <w:szCs w:val="20"/>
          <w:lang w:val="ro-MD"/>
        </w:rPr>
      </w:pPr>
      <w:r w:rsidRPr="5C81B748">
        <w:rPr>
          <w:rFonts w:ascii="Verdana" w:hAnsi="Verdana"/>
          <w:b/>
          <w:bCs/>
          <w:sz w:val="20"/>
          <w:szCs w:val="20"/>
          <w:lang w:val="ro-MD"/>
        </w:rPr>
        <w:lastRenderedPageBreak/>
        <w:t xml:space="preserve">Declarăm că toate informațiile în prezenta propunere sunt adevărate și acceptăm că orice interpretare greșită sau denaturare conținută în prezenta propunere poate duce la descalificarea noastră. </w:t>
      </w:r>
    </w:p>
    <w:p w14:paraId="34215545" w14:textId="77777777" w:rsidR="005929C8" w:rsidRDefault="005929C8" w:rsidP="5C81B748">
      <w:pPr>
        <w:spacing w:after="0"/>
        <w:jc w:val="both"/>
        <w:rPr>
          <w:rFonts w:ascii="Verdana" w:hAnsi="Verdana"/>
          <w:sz w:val="20"/>
          <w:szCs w:val="20"/>
          <w:lang w:val="ro-MD"/>
        </w:rPr>
      </w:pPr>
    </w:p>
    <w:p w14:paraId="590D5E6D"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Serviciile vor fi prestate în conformitate cu condițiile concursului și cu Termenii de referință. </w:t>
      </w:r>
    </w:p>
    <w:p w14:paraId="36E9AC1A" w14:textId="77777777" w:rsidR="005929C8" w:rsidRDefault="005929C8" w:rsidP="5C81B748">
      <w:pPr>
        <w:spacing w:after="0"/>
        <w:jc w:val="both"/>
        <w:rPr>
          <w:rFonts w:ascii="Verdana" w:hAnsi="Verdana"/>
          <w:sz w:val="20"/>
          <w:szCs w:val="20"/>
          <w:lang w:val="ro-MD"/>
        </w:rPr>
      </w:pPr>
    </w:p>
    <w:p w14:paraId="5E075EB6" w14:textId="77777777" w:rsidR="005929C8" w:rsidRPr="005929C8" w:rsidRDefault="452AF9CB" w:rsidP="5C81B748">
      <w:pPr>
        <w:spacing w:after="0"/>
        <w:jc w:val="both"/>
        <w:rPr>
          <w:rFonts w:ascii="Verdana" w:hAnsi="Verdana"/>
          <w:b/>
          <w:bCs/>
          <w:sz w:val="20"/>
          <w:szCs w:val="20"/>
          <w:lang w:val="ro-MD"/>
        </w:rPr>
      </w:pPr>
      <w:r w:rsidRPr="5C81B748">
        <w:rPr>
          <w:rFonts w:ascii="Verdana" w:hAnsi="Verdana"/>
          <w:b/>
          <w:bCs/>
          <w:sz w:val="20"/>
          <w:szCs w:val="20"/>
          <w:lang w:val="ro-MD"/>
        </w:rPr>
        <w:t xml:space="preserve">Moneda ofertei: MDL </w:t>
      </w:r>
    </w:p>
    <w:p w14:paraId="582824A7" w14:textId="77777777" w:rsidR="005929C8" w:rsidRDefault="005929C8" w:rsidP="5C81B748">
      <w:pPr>
        <w:spacing w:after="0"/>
        <w:jc w:val="both"/>
        <w:rPr>
          <w:rFonts w:ascii="Verdana" w:hAnsi="Verdana"/>
          <w:sz w:val="20"/>
          <w:szCs w:val="20"/>
          <w:lang w:val="ro-MD"/>
        </w:rPr>
      </w:pPr>
    </w:p>
    <w:p w14:paraId="12E52B64" w14:textId="1AF855F4" w:rsidR="005929C8" w:rsidRPr="006D02FC" w:rsidRDefault="452AF9CB" w:rsidP="5C81B748">
      <w:pPr>
        <w:spacing w:after="0"/>
        <w:jc w:val="both"/>
        <w:rPr>
          <w:rFonts w:ascii="Verdana" w:hAnsi="Verdana"/>
          <w:b/>
          <w:bCs/>
          <w:sz w:val="20"/>
          <w:szCs w:val="20"/>
          <w:lang w:val="ro-MD"/>
        </w:rPr>
      </w:pPr>
      <w:r w:rsidRPr="5C81B748">
        <w:rPr>
          <w:rFonts w:ascii="Verdana" w:hAnsi="Verdana"/>
          <w:b/>
          <w:bCs/>
          <w:sz w:val="20"/>
          <w:szCs w:val="20"/>
          <w:lang w:val="ro-MD"/>
        </w:rPr>
        <w:t>Tabel: Oferta financiară</w:t>
      </w:r>
    </w:p>
    <w:p w14:paraId="2DF2EEB7" w14:textId="77777777" w:rsidR="005929C8" w:rsidRDefault="005929C8" w:rsidP="5C81B748">
      <w:pPr>
        <w:spacing w:after="0"/>
        <w:jc w:val="both"/>
        <w:rPr>
          <w:rFonts w:ascii="Verdana" w:hAnsi="Verdana"/>
          <w:sz w:val="20"/>
          <w:szCs w:val="20"/>
          <w:lang w:val="ro-MD"/>
        </w:rPr>
      </w:pPr>
    </w:p>
    <w:tbl>
      <w:tblPr>
        <w:tblStyle w:val="TableGridLight"/>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389"/>
        <w:gridCol w:w="2013"/>
        <w:gridCol w:w="1417"/>
        <w:gridCol w:w="1187"/>
        <w:gridCol w:w="1648"/>
      </w:tblGrid>
      <w:tr w:rsidR="006D02FC" w:rsidRPr="00F33FEC" w14:paraId="1DC37F22" w14:textId="77777777" w:rsidTr="5C81B748">
        <w:trPr>
          <w:trHeight w:val="142"/>
        </w:trPr>
        <w:tc>
          <w:tcPr>
            <w:tcW w:w="555" w:type="dxa"/>
            <w:hideMark/>
          </w:tcPr>
          <w:p w14:paraId="6F3D33A5" w14:textId="337968BE" w:rsidR="006D02FC" w:rsidRPr="00F33FEC" w:rsidRDefault="5F27FE7D" w:rsidP="5C81B748">
            <w:pPr>
              <w:rPr>
                <w:rFonts w:ascii="Verdana" w:hAnsi="Verdana"/>
                <w:sz w:val="16"/>
                <w:szCs w:val="16"/>
                <w:lang w:val="ro-MD"/>
              </w:rPr>
            </w:pPr>
            <w:r w:rsidRPr="5C81B748">
              <w:rPr>
                <w:rFonts w:ascii="Verdana" w:hAnsi="Verdana"/>
                <w:sz w:val="16"/>
                <w:szCs w:val="16"/>
                <w:lang w:val="ro-MD"/>
              </w:rPr>
              <w:t>#</w:t>
            </w:r>
          </w:p>
        </w:tc>
        <w:tc>
          <w:tcPr>
            <w:tcW w:w="2389" w:type="dxa"/>
            <w:hideMark/>
          </w:tcPr>
          <w:p w14:paraId="19F32BA4" w14:textId="77777777" w:rsidR="006D02FC" w:rsidRPr="00F33FEC" w:rsidRDefault="5F27FE7D" w:rsidP="5C81B748">
            <w:pPr>
              <w:rPr>
                <w:rFonts w:ascii="Verdana" w:hAnsi="Verdana"/>
                <w:b/>
                <w:bCs/>
                <w:sz w:val="16"/>
                <w:szCs w:val="16"/>
                <w:lang w:val="ro-MD"/>
              </w:rPr>
            </w:pPr>
            <w:r w:rsidRPr="5C81B748">
              <w:rPr>
                <w:rFonts w:ascii="Verdana" w:hAnsi="Verdana"/>
                <w:b/>
                <w:bCs/>
                <w:sz w:val="16"/>
                <w:szCs w:val="16"/>
                <w:lang w:val="ro-MD"/>
              </w:rPr>
              <w:t>Activități</w:t>
            </w:r>
          </w:p>
        </w:tc>
        <w:tc>
          <w:tcPr>
            <w:tcW w:w="2013" w:type="dxa"/>
            <w:hideMark/>
          </w:tcPr>
          <w:p w14:paraId="20DDFF3B" w14:textId="77777777" w:rsidR="006D02FC" w:rsidRPr="00F33FEC" w:rsidRDefault="5F27FE7D" w:rsidP="5C81B748">
            <w:pPr>
              <w:rPr>
                <w:rFonts w:ascii="Verdana" w:hAnsi="Verdana"/>
                <w:b/>
                <w:bCs/>
                <w:sz w:val="16"/>
                <w:szCs w:val="16"/>
                <w:lang w:val="ro-MD"/>
              </w:rPr>
            </w:pPr>
            <w:r w:rsidRPr="5C81B748">
              <w:rPr>
                <w:rFonts w:ascii="Verdana" w:hAnsi="Verdana"/>
                <w:b/>
                <w:bCs/>
                <w:sz w:val="16"/>
                <w:szCs w:val="16"/>
                <w:lang w:val="ro-MD"/>
              </w:rPr>
              <w:t>Livrabile</w:t>
            </w:r>
          </w:p>
        </w:tc>
        <w:tc>
          <w:tcPr>
            <w:tcW w:w="1417" w:type="dxa"/>
          </w:tcPr>
          <w:p w14:paraId="30DA92D3" w14:textId="6986A1E0" w:rsidR="006D02FC" w:rsidRPr="00F33FEC" w:rsidRDefault="5F27FE7D" w:rsidP="5C81B748">
            <w:pPr>
              <w:rPr>
                <w:rFonts w:ascii="Verdana" w:hAnsi="Verdana"/>
                <w:b/>
                <w:bCs/>
                <w:sz w:val="16"/>
                <w:szCs w:val="16"/>
                <w:lang w:val="ro-MD"/>
              </w:rPr>
            </w:pPr>
            <w:r w:rsidRPr="5C81B748">
              <w:rPr>
                <w:rFonts w:ascii="Verdana" w:hAnsi="Verdana"/>
                <w:b/>
                <w:bCs/>
                <w:sz w:val="16"/>
                <w:szCs w:val="16"/>
                <w:lang w:val="ro-MD"/>
              </w:rPr>
              <w:t>Nr. zile</w:t>
            </w:r>
          </w:p>
        </w:tc>
        <w:tc>
          <w:tcPr>
            <w:tcW w:w="1187" w:type="dxa"/>
          </w:tcPr>
          <w:p w14:paraId="4C3F81AB" w14:textId="6CFCF2B4" w:rsidR="006D02FC" w:rsidRPr="00F33FEC" w:rsidRDefault="5F27FE7D" w:rsidP="5C81B748">
            <w:pPr>
              <w:rPr>
                <w:rFonts w:ascii="Verdana" w:hAnsi="Verdana"/>
                <w:b/>
                <w:bCs/>
                <w:sz w:val="16"/>
                <w:szCs w:val="16"/>
                <w:lang w:val="ro-MD"/>
              </w:rPr>
            </w:pPr>
            <w:r w:rsidRPr="5C81B748">
              <w:rPr>
                <w:rFonts w:ascii="Verdana" w:hAnsi="Verdana"/>
                <w:b/>
                <w:bCs/>
                <w:sz w:val="16"/>
                <w:szCs w:val="16"/>
                <w:lang w:val="ro-MD"/>
              </w:rPr>
              <w:t>Cost per unitate, MDL NET</w:t>
            </w:r>
          </w:p>
        </w:tc>
        <w:tc>
          <w:tcPr>
            <w:tcW w:w="1648" w:type="dxa"/>
          </w:tcPr>
          <w:p w14:paraId="3B5E4EDE" w14:textId="3EF7C58C" w:rsidR="006D02FC" w:rsidRPr="00F33FEC" w:rsidRDefault="5F27FE7D" w:rsidP="5C81B748">
            <w:pPr>
              <w:rPr>
                <w:rFonts w:ascii="Verdana" w:hAnsi="Verdana"/>
                <w:b/>
                <w:bCs/>
                <w:sz w:val="16"/>
                <w:szCs w:val="16"/>
                <w:lang w:val="ro-MD"/>
              </w:rPr>
            </w:pPr>
            <w:r w:rsidRPr="5C81B748">
              <w:rPr>
                <w:rFonts w:ascii="Verdana" w:hAnsi="Verdana"/>
                <w:b/>
                <w:bCs/>
                <w:sz w:val="16"/>
                <w:szCs w:val="16"/>
                <w:lang w:val="ro-MD"/>
              </w:rPr>
              <w:t>Suma totală, MDL NET</w:t>
            </w:r>
          </w:p>
        </w:tc>
      </w:tr>
      <w:tr w:rsidR="006D02FC" w:rsidRPr="00F33FEC" w14:paraId="56562C16" w14:textId="77777777" w:rsidTr="5C81B748">
        <w:trPr>
          <w:trHeight w:val="449"/>
        </w:trPr>
        <w:tc>
          <w:tcPr>
            <w:tcW w:w="555" w:type="dxa"/>
            <w:hideMark/>
          </w:tcPr>
          <w:p w14:paraId="6FF0EE13"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1</w:t>
            </w:r>
          </w:p>
        </w:tc>
        <w:tc>
          <w:tcPr>
            <w:tcW w:w="2389" w:type="dxa"/>
            <w:hideMark/>
          </w:tcPr>
          <w:p w14:paraId="08EA4DFC"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Studierea și analiza raportului de bază; identificarea nevoilor de învățare și a temelor prioritare pentru ateliere</w:t>
            </w:r>
          </w:p>
        </w:tc>
        <w:tc>
          <w:tcPr>
            <w:tcW w:w="2013" w:type="dxa"/>
            <w:hideMark/>
          </w:tcPr>
          <w:p w14:paraId="1FBE726C"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Notă de analiză + schemă tematică pentru ateliere (obiective, subiecte, rezultate așteptate)</w:t>
            </w:r>
          </w:p>
        </w:tc>
        <w:tc>
          <w:tcPr>
            <w:tcW w:w="1417" w:type="dxa"/>
          </w:tcPr>
          <w:p w14:paraId="42EFC5D5" w14:textId="77777777" w:rsidR="006D02FC" w:rsidRPr="00F33FEC" w:rsidRDefault="006D02FC" w:rsidP="5C81B748">
            <w:pPr>
              <w:rPr>
                <w:rFonts w:ascii="Verdana" w:hAnsi="Verdana"/>
                <w:sz w:val="16"/>
                <w:szCs w:val="16"/>
                <w:lang w:val="ro-MD"/>
              </w:rPr>
            </w:pPr>
          </w:p>
        </w:tc>
        <w:tc>
          <w:tcPr>
            <w:tcW w:w="1187" w:type="dxa"/>
          </w:tcPr>
          <w:p w14:paraId="03854883" w14:textId="77777777" w:rsidR="006D02FC" w:rsidRPr="00F33FEC" w:rsidRDefault="006D02FC" w:rsidP="5C81B748">
            <w:pPr>
              <w:rPr>
                <w:rFonts w:ascii="Verdana" w:hAnsi="Verdana"/>
                <w:sz w:val="16"/>
                <w:szCs w:val="16"/>
                <w:lang w:val="ro-MD"/>
              </w:rPr>
            </w:pPr>
          </w:p>
        </w:tc>
        <w:tc>
          <w:tcPr>
            <w:tcW w:w="1648" w:type="dxa"/>
          </w:tcPr>
          <w:p w14:paraId="2B3B6BAF" w14:textId="77777777" w:rsidR="006D02FC" w:rsidRPr="00F33FEC" w:rsidRDefault="006D02FC" w:rsidP="5C81B748">
            <w:pPr>
              <w:rPr>
                <w:rFonts w:ascii="Verdana" w:hAnsi="Verdana"/>
                <w:sz w:val="16"/>
                <w:szCs w:val="16"/>
                <w:lang w:val="ro-MD"/>
              </w:rPr>
            </w:pPr>
          </w:p>
        </w:tc>
      </w:tr>
      <w:tr w:rsidR="006D02FC" w:rsidRPr="00F33FEC" w14:paraId="1416D571" w14:textId="77777777" w:rsidTr="5C81B748">
        <w:trPr>
          <w:trHeight w:val="449"/>
        </w:trPr>
        <w:tc>
          <w:tcPr>
            <w:tcW w:w="555" w:type="dxa"/>
            <w:hideMark/>
          </w:tcPr>
          <w:p w14:paraId="42E62235"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2</w:t>
            </w:r>
          </w:p>
        </w:tc>
        <w:tc>
          <w:tcPr>
            <w:tcW w:w="2389" w:type="dxa"/>
            <w:hideMark/>
          </w:tcPr>
          <w:p w14:paraId="11BB1968"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Elaborarea conceptului de instruire și a instrumentelor; coordonarea cu partenerii locali pentru organizare și identificarea participanților (UTA Găgăuzia/Chișinău)</w:t>
            </w:r>
          </w:p>
        </w:tc>
        <w:tc>
          <w:tcPr>
            <w:tcW w:w="2013" w:type="dxa"/>
            <w:hideMark/>
          </w:tcPr>
          <w:p w14:paraId="51CA6F91" w14:textId="609F7A2B" w:rsidR="006D02FC" w:rsidRPr="002431DD" w:rsidRDefault="5F27FE7D" w:rsidP="5C81B748">
            <w:pPr>
              <w:rPr>
                <w:rFonts w:ascii="Verdana" w:hAnsi="Verdana"/>
                <w:sz w:val="16"/>
                <w:szCs w:val="16"/>
                <w:lang w:val="ro-MD"/>
              </w:rPr>
            </w:pPr>
            <w:r w:rsidRPr="002431DD">
              <w:rPr>
                <w:rFonts w:ascii="Verdana" w:hAnsi="Verdana"/>
                <w:sz w:val="16"/>
                <w:szCs w:val="16"/>
                <w:lang w:val="ro-MD"/>
              </w:rPr>
              <w:t>Agenda detaliată pentru 4 ateliere + pachet de instruire (prezentări, fișe de lucru, checklist-uri/ghiduri practice, exerciții</w:t>
            </w:r>
            <w:r w:rsidR="006A2C1B" w:rsidRPr="002431DD">
              <w:rPr>
                <w:rFonts w:ascii="Verdana" w:hAnsi="Verdana"/>
                <w:sz w:val="16"/>
                <w:szCs w:val="16"/>
                <w:lang w:val="ro-MD"/>
              </w:rPr>
              <w:t xml:space="preserve">, </w:t>
            </w:r>
            <w:r w:rsidR="006A2C1B" w:rsidRPr="002431DD">
              <w:rPr>
                <w:rFonts w:ascii="Verdana" w:hAnsi="Verdana" w:cs="Times New Roman"/>
                <w:sz w:val="16"/>
                <w:szCs w:val="16"/>
                <w:lang w:val="ro-MD"/>
              </w:rPr>
              <w:t>chestionare de evaluare pre și post-training</w:t>
            </w:r>
            <w:r w:rsidRPr="002431DD">
              <w:rPr>
                <w:rFonts w:ascii="Verdana" w:hAnsi="Verdana"/>
                <w:sz w:val="16"/>
                <w:szCs w:val="16"/>
                <w:lang w:val="ro-MD"/>
              </w:rPr>
              <w:t>)</w:t>
            </w:r>
          </w:p>
        </w:tc>
        <w:tc>
          <w:tcPr>
            <w:tcW w:w="1417" w:type="dxa"/>
          </w:tcPr>
          <w:p w14:paraId="67BE5596" w14:textId="77777777" w:rsidR="006D02FC" w:rsidRPr="00F33FEC" w:rsidRDefault="006D02FC" w:rsidP="5C81B748">
            <w:pPr>
              <w:rPr>
                <w:rFonts w:ascii="Verdana" w:hAnsi="Verdana"/>
                <w:sz w:val="16"/>
                <w:szCs w:val="16"/>
                <w:lang w:val="ro-MD"/>
              </w:rPr>
            </w:pPr>
          </w:p>
        </w:tc>
        <w:tc>
          <w:tcPr>
            <w:tcW w:w="1187" w:type="dxa"/>
          </w:tcPr>
          <w:p w14:paraId="0BE645E5" w14:textId="77777777" w:rsidR="006D02FC" w:rsidRPr="00F33FEC" w:rsidRDefault="006D02FC" w:rsidP="5C81B748">
            <w:pPr>
              <w:rPr>
                <w:rFonts w:ascii="Verdana" w:hAnsi="Verdana"/>
                <w:sz w:val="16"/>
                <w:szCs w:val="16"/>
                <w:lang w:val="ro-MD"/>
              </w:rPr>
            </w:pPr>
          </w:p>
        </w:tc>
        <w:tc>
          <w:tcPr>
            <w:tcW w:w="1648" w:type="dxa"/>
          </w:tcPr>
          <w:p w14:paraId="1C1412F9" w14:textId="77777777" w:rsidR="006D02FC" w:rsidRPr="00F33FEC" w:rsidRDefault="006D02FC" w:rsidP="5C81B748">
            <w:pPr>
              <w:rPr>
                <w:rFonts w:ascii="Verdana" w:hAnsi="Verdana"/>
                <w:sz w:val="16"/>
                <w:szCs w:val="16"/>
                <w:lang w:val="ro-MD"/>
              </w:rPr>
            </w:pPr>
          </w:p>
        </w:tc>
      </w:tr>
      <w:tr w:rsidR="006D02FC" w:rsidRPr="00F33FEC" w14:paraId="70C5500E" w14:textId="77777777" w:rsidTr="5C81B748">
        <w:trPr>
          <w:trHeight w:val="296"/>
        </w:trPr>
        <w:tc>
          <w:tcPr>
            <w:tcW w:w="555" w:type="dxa"/>
            <w:hideMark/>
          </w:tcPr>
          <w:p w14:paraId="4B0701BA"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3</w:t>
            </w:r>
          </w:p>
        </w:tc>
        <w:tc>
          <w:tcPr>
            <w:tcW w:w="2389" w:type="dxa"/>
            <w:hideMark/>
          </w:tcPr>
          <w:p w14:paraId="66DA26D1"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 xml:space="preserve">Organizarea și facilitarea a 4 ateliere de instruire (a câte 1 zi): </w:t>
            </w:r>
            <w:r w:rsidRPr="5C81B748">
              <w:rPr>
                <w:rFonts w:ascii="Verdana" w:eastAsia="Times New Roman" w:hAnsi="Verdana"/>
                <w:b/>
                <w:bCs/>
                <w:sz w:val="16"/>
                <w:szCs w:val="16"/>
                <w:lang w:val="ro-MD"/>
              </w:rPr>
              <w:t>3 în UTA Găgăuzia</w:t>
            </w:r>
            <w:r w:rsidRPr="5C81B748">
              <w:rPr>
                <w:rFonts w:ascii="Verdana" w:hAnsi="Verdana"/>
                <w:sz w:val="16"/>
                <w:szCs w:val="16"/>
                <w:lang w:val="ro-MD"/>
              </w:rPr>
              <w:t xml:space="preserve"> și </w:t>
            </w:r>
            <w:r w:rsidRPr="5C81B748">
              <w:rPr>
                <w:rFonts w:ascii="Verdana" w:eastAsia="Times New Roman" w:hAnsi="Verdana"/>
                <w:b/>
                <w:bCs/>
                <w:sz w:val="16"/>
                <w:szCs w:val="16"/>
                <w:lang w:val="ro-MD"/>
              </w:rPr>
              <w:t>1 în mun. Chișinău</w:t>
            </w:r>
            <w:r w:rsidRPr="5C81B748">
              <w:rPr>
                <w:rFonts w:ascii="Verdana" w:hAnsi="Verdana"/>
                <w:sz w:val="16"/>
                <w:szCs w:val="16"/>
                <w:lang w:val="ro-MD"/>
              </w:rPr>
              <w:t xml:space="preserve">; </w:t>
            </w:r>
            <w:r w:rsidRPr="5C81B748">
              <w:rPr>
                <w:rFonts w:ascii="Verdana" w:eastAsia="Times New Roman" w:hAnsi="Verdana"/>
                <w:b/>
                <w:bCs/>
                <w:sz w:val="16"/>
                <w:szCs w:val="16"/>
                <w:lang w:val="ro-MD"/>
              </w:rPr>
              <w:t>ghidarea participanților în identificarea lacunelor și a soluțiilor are loc în cadrul fiecărui atelier</w:t>
            </w:r>
            <w:r w:rsidRPr="5C81B748">
              <w:rPr>
                <w:rFonts w:ascii="Verdana" w:hAnsi="Verdana"/>
                <w:sz w:val="16"/>
                <w:szCs w:val="16"/>
                <w:lang w:val="ro-MD"/>
              </w:rPr>
              <w:t xml:space="preserve"> (lucru pe grupuri, discuții ghidate, concluzii)</w:t>
            </w:r>
          </w:p>
        </w:tc>
        <w:tc>
          <w:tcPr>
            <w:tcW w:w="2013" w:type="dxa"/>
            <w:hideMark/>
          </w:tcPr>
          <w:p w14:paraId="5A100F7E" w14:textId="34F6946D" w:rsidR="006D02FC" w:rsidRPr="002431DD" w:rsidRDefault="70FB5BB6" w:rsidP="5C81B748">
            <w:pPr>
              <w:rPr>
                <w:rFonts w:ascii="Verdana" w:hAnsi="Verdana"/>
                <w:sz w:val="16"/>
                <w:szCs w:val="16"/>
                <w:lang w:val="ro-MD"/>
              </w:rPr>
            </w:pPr>
            <w:r w:rsidRPr="002431DD">
              <w:rPr>
                <w:rFonts w:ascii="Verdana" w:hAnsi="Verdana"/>
                <w:sz w:val="16"/>
                <w:szCs w:val="16"/>
                <w:lang w:val="ro-MD"/>
              </w:rPr>
              <w:t>4 ateliere desfășurate, listă de participare</w:t>
            </w:r>
          </w:p>
        </w:tc>
        <w:tc>
          <w:tcPr>
            <w:tcW w:w="1417" w:type="dxa"/>
          </w:tcPr>
          <w:p w14:paraId="3546EB13" w14:textId="77777777" w:rsidR="006D02FC" w:rsidRPr="00F33FEC" w:rsidRDefault="006D02FC" w:rsidP="5C81B748">
            <w:pPr>
              <w:rPr>
                <w:rFonts w:ascii="Verdana" w:hAnsi="Verdana"/>
                <w:sz w:val="16"/>
                <w:szCs w:val="16"/>
                <w:lang w:val="ro-MD"/>
              </w:rPr>
            </w:pPr>
          </w:p>
        </w:tc>
        <w:tc>
          <w:tcPr>
            <w:tcW w:w="1187" w:type="dxa"/>
          </w:tcPr>
          <w:p w14:paraId="7CB4F8A3" w14:textId="77777777" w:rsidR="006D02FC" w:rsidRPr="00F33FEC" w:rsidRDefault="006D02FC" w:rsidP="5C81B748">
            <w:pPr>
              <w:rPr>
                <w:rFonts w:ascii="Verdana" w:hAnsi="Verdana"/>
                <w:sz w:val="16"/>
                <w:szCs w:val="16"/>
                <w:lang w:val="ro-MD"/>
              </w:rPr>
            </w:pPr>
          </w:p>
        </w:tc>
        <w:tc>
          <w:tcPr>
            <w:tcW w:w="1648" w:type="dxa"/>
          </w:tcPr>
          <w:p w14:paraId="45B38305" w14:textId="77777777" w:rsidR="006D02FC" w:rsidRPr="00F33FEC" w:rsidRDefault="006D02FC" w:rsidP="5C81B748">
            <w:pPr>
              <w:rPr>
                <w:rFonts w:ascii="Verdana" w:hAnsi="Verdana"/>
                <w:sz w:val="16"/>
                <w:szCs w:val="16"/>
                <w:lang w:val="ro-MD"/>
              </w:rPr>
            </w:pPr>
          </w:p>
        </w:tc>
      </w:tr>
      <w:tr w:rsidR="006D02FC" w:rsidRPr="00F33FEC" w14:paraId="7FADAA96" w14:textId="77777777" w:rsidTr="5C81B748">
        <w:trPr>
          <w:trHeight w:val="296"/>
        </w:trPr>
        <w:tc>
          <w:tcPr>
            <w:tcW w:w="555" w:type="dxa"/>
            <w:hideMark/>
          </w:tcPr>
          <w:p w14:paraId="5C9D173B"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4</w:t>
            </w:r>
          </w:p>
        </w:tc>
        <w:tc>
          <w:tcPr>
            <w:tcW w:w="2389" w:type="dxa"/>
            <w:hideMark/>
          </w:tcPr>
          <w:p w14:paraId="11910CE0" w14:textId="77777777" w:rsidR="006D02FC" w:rsidRPr="00F33FEC" w:rsidRDefault="5F27FE7D" w:rsidP="5C81B748">
            <w:pPr>
              <w:rPr>
                <w:rFonts w:ascii="Verdana" w:hAnsi="Verdana"/>
                <w:sz w:val="16"/>
                <w:szCs w:val="16"/>
                <w:lang w:val="ro-MD"/>
              </w:rPr>
            </w:pPr>
            <w:r w:rsidRPr="5C81B748">
              <w:rPr>
                <w:rFonts w:ascii="Verdana" w:eastAsia="Times New Roman" w:hAnsi="Verdana"/>
                <w:b/>
                <w:bCs/>
                <w:sz w:val="16"/>
                <w:szCs w:val="16"/>
                <w:lang w:val="ro-MD"/>
              </w:rPr>
              <w:t>Consolidarea rezultatelor fiecărui atelier</w:t>
            </w:r>
            <w:r w:rsidRPr="5C81B748">
              <w:rPr>
                <w:rFonts w:ascii="Verdana" w:hAnsi="Verdana"/>
                <w:sz w:val="16"/>
                <w:szCs w:val="16"/>
                <w:lang w:val="ro-MD"/>
              </w:rPr>
              <w:t>: structurarea concluziilor, formularea propunerilor practice; întărirea recomandărilor de cooperare intersectorială (mobilitate/infrastructură, riscuri climatice, VBG, sănătate)</w:t>
            </w:r>
          </w:p>
        </w:tc>
        <w:tc>
          <w:tcPr>
            <w:tcW w:w="2013" w:type="dxa"/>
            <w:hideMark/>
          </w:tcPr>
          <w:p w14:paraId="04A7AA12" w14:textId="77777777" w:rsidR="006D02FC" w:rsidRPr="002431DD" w:rsidRDefault="5F27FE7D" w:rsidP="5C81B748">
            <w:pPr>
              <w:rPr>
                <w:rFonts w:ascii="Verdana" w:hAnsi="Verdana"/>
                <w:sz w:val="16"/>
                <w:szCs w:val="16"/>
                <w:lang w:val="ro-MD"/>
              </w:rPr>
            </w:pPr>
            <w:r w:rsidRPr="002431DD">
              <w:rPr>
                <w:rFonts w:ascii="Verdana" w:eastAsiaTheme="majorEastAsia" w:hAnsi="Verdana"/>
                <w:sz w:val="16"/>
                <w:szCs w:val="16"/>
                <w:lang w:val="ro-MD"/>
              </w:rPr>
              <w:t>Procese-verbale și sinteze narative pentru fiecare atelier; listele de participare</w:t>
            </w:r>
          </w:p>
        </w:tc>
        <w:tc>
          <w:tcPr>
            <w:tcW w:w="1417" w:type="dxa"/>
          </w:tcPr>
          <w:p w14:paraId="7252F041" w14:textId="77777777" w:rsidR="006D02FC" w:rsidRPr="00F33FEC" w:rsidRDefault="006D02FC" w:rsidP="5C81B748">
            <w:pPr>
              <w:rPr>
                <w:rFonts w:ascii="Verdana" w:hAnsi="Verdana"/>
                <w:sz w:val="16"/>
                <w:szCs w:val="16"/>
                <w:lang w:val="ro-MD"/>
              </w:rPr>
            </w:pPr>
          </w:p>
        </w:tc>
        <w:tc>
          <w:tcPr>
            <w:tcW w:w="1187" w:type="dxa"/>
          </w:tcPr>
          <w:p w14:paraId="72D7D217" w14:textId="77777777" w:rsidR="006D02FC" w:rsidRPr="00F33FEC" w:rsidRDefault="006D02FC" w:rsidP="5C81B748">
            <w:pPr>
              <w:rPr>
                <w:rFonts w:ascii="Verdana" w:hAnsi="Verdana"/>
                <w:sz w:val="16"/>
                <w:szCs w:val="16"/>
                <w:lang w:val="ro-MD"/>
              </w:rPr>
            </w:pPr>
          </w:p>
        </w:tc>
        <w:tc>
          <w:tcPr>
            <w:tcW w:w="1648" w:type="dxa"/>
          </w:tcPr>
          <w:p w14:paraId="5CA3AC86" w14:textId="77777777" w:rsidR="006D02FC" w:rsidRPr="00F33FEC" w:rsidRDefault="006D02FC" w:rsidP="5C81B748">
            <w:pPr>
              <w:rPr>
                <w:rFonts w:ascii="Verdana" w:hAnsi="Verdana"/>
                <w:sz w:val="16"/>
                <w:szCs w:val="16"/>
                <w:lang w:val="ro-MD"/>
              </w:rPr>
            </w:pPr>
          </w:p>
        </w:tc>
      </w:tr>
      <w:tr w:rsidR="006D02FC" w:rsidRPr="00F33FEC" w14:paraId="61280B08" w14:textId="77777777" w:rsidTr="5C81B748">
        <w:trPr>
          <w:trHeight w:val="146"/>
        </w:trPr>
        <w:tc>
          <w:tcPr>
            <w:tcW w:w="555" w:type="dxa"/>
            <w:hideMark/>
          </w:tcPr>
          <w:p w14:paraId="447638CC"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5</w:t>
            </w:r>
          </w:p>
        </w:tc>
        <w:tc>
          <w:tcPr>
            <w:tcW w:w="2389" w:type="dxa"/>
            <w:hideMark/>
          </w:tcPr>
          <w:p w14:paraId="066DD124" w14:textId="77777777" w:rsidR="006D02FC" w:rsidRPr="00F33FEC" w:rsidRDefault="5F27FE7D" w:rsidP="5C81B748">
            <w:pPr>
              <w:rPr>
                <w:rFonts w:ascii="Verdana" w:hAnsi="Verdana"/>
                <w:sz w:val="16"/>
                <w:szCs w:val="16"/>
                <w:lang w:val="ro-MD"/>
              </w:rPr>
            </w:pPr>
            <w:r w:rsidRPr="5C81B748">
              <w:rPr>
                <w:rFonts w:ascii="Verdana" w:hAnsi="Verdana"/>
                <w:sz w:val="16"/>
                <w:szCs w:val="16"/>
                <w:lang w:val="ro-MD"/>
              </w:rPr>
              <w:t>Elaborarea raportului final de consultanță (sinteză generală a celor 4 ateliere, concluzii și recomandări aplicabile</w:t>
            </w:r>
          </w:p>
        </w:tc>
        <w:tc>
          <w:tcPr>
            <w:tcW w:w="2013" w:type="dxa"/>
            <w:hideMark/>
          </w:tcPr>
          <w:p w14:paraId="3DFCFC30" w14:textId="2A8EFFDD" w:rsidR="006D02FC" w:rsidRPr="002431DD" w:rsidRDefault="5F27FE7D" w:rsidP="5C81B748">
            <w:pPr>
              <w:rPr>
                <w:rFonts w:ascii="Verdana" w:hAnsi="Verdana"/>
                <w:sz w:val="16"/>
                <w:szCs w:val="16"/>
                <w:lang w:val="ro-MD"/>
              </w:rPr>
            </w:pPr>
            <w:r w:rsidRPr="002431DD">
              <w:rPr>
                <w:rFonts w:ascii="Verdana" w:hAnsi="Verdana"/>
                <w:sz w:val="16"/>
                <w:szCs w:val="16"/>
                <w:lang w:val="ro-MD"/>
              </w:rPr>
              <w:t>Raport final de consultanță (incl. anexe: agende, liste participanți, sinteze ateliere</w:t>
            </w:r>
            <w:r w:rsidR="00196980" w:rsidRPr="002431DD">
              <w:rPr>
                <w:rFonts w:ascii="Verdana" w:hAnsi="Verdana"/>
                <w:sz w:val="16"/>
                <w:szCs w:val="16"/>
                <w:lang w:val="ro-MD"/>
              </w:rPr>
              <w:t>, rezultatele chestionarelor pre și post-training</w:t>
            </w:r>
            <w:r w:rsidRPr="002431DD">
              <w:rPr>
                <w:rFonts w:ascii="Verdana" w:hAnsi="Verdana"/>
                <w:sz w:val="16"/>
                <w:szCs w:val="16"/>
                <w:lang w:val="ro-MD"/>
              </w:rPr>
              <w:t>)</w:t>
            </w:r>
          </w:p>
        </w:tc>
        <w:tc>
          <w:tcPr>
            <w:tcW w:w="1417" w:type="dxa"/>
          </w:tcPr>
          <w:p w14:paraId="3F70876C" w14:textId="77777777" w:rsidR="006D02FC" w:rsidRPr="00F33FEC" w:rsidRDefault="006D02FC" w:rsidP="5C81B748">
            <w:pPr>
              <w:rPr>
                <w:rFonts w:ascii="Verdana" w:hAnsi="Verdana"/>
                <w:sz w:val="16"/>
                <w:szCs w:val="16"/>
                <w:lang w:val="ro-MD"/>
              </w:rPr>
            </w:pPr>
          </w:p>
        </w:tc>
        <w:tc>
          <w:tcPr>
            <w:tcW w:w="1187" w:type="dxa"/>
          </w:tcPr>
          <w:p w14:paraId="5B0800E4" w14:textId="77777777" w:rsidR="006D02FC" w:rsidRPr="00F33FEC" w:rsidRDefault="006D02FC" w:rsidP="5C81B748">
            <w:pPr>
              <w:rPr>
                <w:rFonts w:ascii="Verdana" w:hAnsi="Verdana"/>
                <w:sz w:val="16"/>
                <w:szCs w:val="16"/>
                <w:lang w:val="ro-MD"/>
              </w:rPr>
            </w:pPr>
          </w:p>
        </w:tc>
        <w:tc>
          <w:tcPr>
            <w:tcW w:w="1648" w:type="dxa"/>
          </w:tcPr>
          <w:p w14:paraId="5D170FAE" w14:textId="77777777" w:rsidR="006D02FC" w:rsidRPr="00F33FEC" w:rsidRDefault="006D02FC" w:rsidP="5C81B748">
            <w:pPr>
              <w:rPr>
                <w:rFonts w:ascii="Verdana" w:hAnsi="Verdana"/>
                <w:sz w:val="16"/>
                <w:szCs w:val="16"/>
                <w:lang w:val="ro-MD"/>
              </w:rPr>
            </w:pPr>
          </w:p>
        </w:tc>
      </w:tr>
      <w:tr w:rsidR="006D02FC" w:rsidRPr="00F33FEC" w14:paraId="62C104AA" w14:textId="77777777" w:rsidTr="5C81B748">
        <w:trPr>
          <w:trHeight w:val="142"/>
        </w:trPr>
        <w:tc>
          <w:tcPr>
            <w:tcW w:w="555" w:type="dxa"/>
            <w:hideMark/>
          </w:tcPr>
          <w:p w14:paraId="583C1E07" w14:textId="77777777" w:rsidR="006D02FC" w:rsidRPr="00F33FEC" w:rsidRDefault="006D02FC" w:rsidP="5C81B748">
            <w:pPr>
              <w:rPr>
                <w:rFonts w:ascii="Verdana" w:hAnsi="Verdana"/>
                <w:sz w:val="16"/>
                <w:szCs w:val="16"/>
                <w:lang w:val="ro-MD"/>
              </w:rPr>
            </w:pPr>
          </w:p>
        </w:tc>
        <w:tc>
          <w:tcPr>
            <w:tcW w:w="2389" w:type="dxa"/>
            <w:hideMark/>
          </w:tcPr>
          <w:p w14:paraId="1558D082" w14:textId="77777777" w:rsidR="006D02FC" w:rsidRPr="00F33FEC" w:rsidRDefault="5F27FE7D" w:rsidP="5C81B748">
            <w:pPr>
              <w:rPr>
                <w:rFonts w:ascii="Verdana" w:hAnsi="Verdana"/>
                <w:b/>
                <w:bCs/>
                <w:sz w:val="16"/>
                <w:szCs w:val="16"/>
                <w:lang w:val="ro-MD"/>
              </w:rPr>
            </w:pPr>
            <w:r w:rsidRPr="5C81B748">
              <w:rPr>
                <w:rFonts w:ascii="Verdana" w:hAnsi="Verdana"/>
                <w:b/>
                <w:bCs/>
                <w:sz w:val="16"/>
                <w:szCs w:val="16"/>
                <w:lang w:val="ro-MD"/>
              </w:rPr>
              <w:t>TOTAL</w:t>
            </w:r>
          </w:p>
        </w:tc>
        <w:tc>
          <w:tcPr>
            <w:tcW w:w="2013" w:type="dxa"/>
            <w:hideMark/>
          </w:tcPr>
          <w:p w14:paraId="0B43B62A" w14:textId="77777777" w:rsidR="006D02FC" w:rsidRPr="00F33FEC" w:rsidRDefault="006D02FC" w:rsidP="5C81B748">
            <w:pPr>
              <w:rPr>
                <w:rFonts w:ascii="Verdana" w:hAnsi="Verdana"/>
                <w:b/>
                <w:bCs/>
                <w:sz w:val="16"/>
                <w:szCs w:val="16"/>
                <w:lang w:val="ro-MD"/>
              </w:rPr>
            </w:pPr>
          </w:p>
        </w:tc>
        <w:tc>
          <w:tcPr>
            <w:tcW w:w="1417" w:type="dxa"/>
          </w:tcPr>
          <w:p w14:paraId="105D4411" w14:textId="426263E6" w:rsidR="006D02FC" w:rsidRPr="00F33FEC" w:rsidRDefault="5F27FE7D" w:rsidP="0068047A">
            <w:pPr>
              <w:jc w:val="center"/>
              <w:rPr>
                <w:rFonts w:ascii="Verdana" w:hAnsi="Verdana"/>
                <w:b/>
                <w:bCs/>
                <w:sz w:val="16"/>
                <w:szCs w:val="16"/>
                <w:lang w:val="ro-MD"/>
              </w:rPr>
            </w:pPr>
            <w:r w:rsidRPr="5C81B748">
              <w:rPr>
                <w:rFonts w:ascii="Verdana" w:hAnsi="Verdana"/>
                <w:b/>
                <w:bCs/>
                <w:sz w:val="16"/>
                <w:szCs w:val="16"/>
                <w:lang w:val="ro-MD"/>
              </w:rPr>
              <w:t>14</w:t>
            </w:r>
          </w:p>
        </w:tc>
        <w:tc>
          <w:tcPr>
            <w:tcW w:w="1187" w:type="dxa"/>
          </w:tcPr>
          <w:p w14:paraId="6508F8BF" w14:textId="77777777" w:rsidR="006D02FC" w:rsidRPr="00F33FEC" w:rsidRDefault="006D02FC" w:rsidP="5C81B748">
            <w:pPr>
              <w:rPr>
                <w:rFonts w:ascii="Verdana" w:hAnsi="Verdana"/>
                <w:b/>
                <w:bCs/>
                <w:sz w:val="16"/>
                <w:szCs w:val="16"/>
                <w:lang w:val="ro-MD"/>
              </w:rPr>
            </w:pPr>
          </w:p>
        </w:tc>
        <w:tc>
          <w:tcPr>
            <w:tcW w:w="1648" w:type="dxa"/>
          </w:tcPr>
          <w:p w14:paraId="243B968C" w14:textId="77777777" w:rsidR="006D02FC" w:rsidRPr="00F33FEC" w:rsidRDefault="006D02FC" w:rsidP="5C81B748">
            <w:pPr>
              <w:rPr>
                <w:rFonts w:ascii="Verdana" w:hAnsi="Verdana"/>
                <w:b/>
                <w:bCs/>
                <w:sz w:val="16"/>
                <w:szCs w:val="16"/>
                <w:lang w:val="ro-MD"/>
              </w:rPr>
            </w:pPr>
          </w:p>
        </w:tc>
      </w:tr>
    </w:tbl>
    <w:p w14:paraId="4CEA7485" w14:textId="77777777" w:rsidR="005929C8" w:rsidRDefault="005929C8" w:rsidP="5C81B748">
      <w:pPr>
        <w:spacing w:after="0"/>
        <w:jc w:val="both"/>
        <w:rPr>
          <w:rFonts w:ascii="Verdana" w:hAnsi="Verdana"/>
          <w:sz w:val="20"/>
          <w:szCs w:val="20"/>
          <w:lang w:val="ro-MD"/>
        </w:rPr>
      </w:pPr>
    </w:p>
    <w:p w14:paraId="6CA477F9" w14:textId="77777777" w:rsidR="005929C8" w:rsidRDefault="005929C8" w:rsidP="5C81B748">
      <w:pPr>
        <w:spacing w:after="0"/>
        <w:jc w:val="both"/>
        <w:rPr>
          <w:rFonts w:ascii="Verdana" w:hAnsi="Verdana"/>
          <w:sz w:val="20"/>
          <w:szCs w:val="20"/>
          <w:lang w:val="ro-MD"/>
        </w:rPr>
      </w:pPr>
    </w:p>
    <w:p w14:paraId="392EE618" w14:textId="77777777"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Subsemnatul certifică că este autorizat în mod corespunzător să semneze prezenta propunere și se angajează să o execute în cazul în care Keystone Moldova acceptă această propunere. </w:t>
      </w:r>
    </w:p>
    <w:p w14:paraId="00B69EFB" w14:textId="77777777" w:rsidR="005929C8" w:rsidRDefault="005929C8" w:rsidP="5C81B748">
      <w:pPr>
        <w:spacing w:after="0"/>
        <w:jc w:val="both"/>
        <w:rPr>
          <w:rFonts w:ascii="Verdana" w:hAnsi="Verdana"/>
          <w:sz w:val="20"/>
          <w:szCs w:val="20"/>
          <w:lang w:val="ro-MD"/>
        </w:rPr>
      </w:pPr>
    </w:p>
    <w:p w14:paraId="7B233986" w14:textId="573E00EE"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Înțelegem și recunoaștem că nu sunteți obligați să acceptați nicio propunere pe care o primiți. </w:t>
      </w:r>
    </w:p>
    <w:p w14:paraId="15DC355E" w14:textId="77777777" w:rsidR="005929C8" w:rsidRDefault="005929C8" w:rsidP="5C81B748">
      <w:pPr>
        <w:spacing w:after="0"/>
        <w:jc w:val="both"/>
        <w:rPr>
          <w:rFonts w:ascii="Verdana" w:hAnsi="Verdana"/>
          <w:sz w:val="20"/>
          <w:szCs w:val="20"/>
          <w:lang w:val="ro-MD"/>
        </w:rPr>
      </w:pPr>
    </w:p>
    <w:p w14:paraId="6607FFAC" w14:textId="1162C996" w:rsidR="005929C8" w:rsidRDefault="452AF9CB" w:rsidP="5C81B748">
      <w:pPr>
        <w:spacing w:after="0"/>
        <w:jc w:val="both"/>
        <w:rPr>
          <w:rFonts w:ascii="Verdana" w:hAnsi="Verdana"/>
          <w:sz w:val="20"/>
          <w:szCs w:val="20"/>
          <w:lang w:val="ro-MD"/>
        </w:rPr>
      </w:pPr>
      <w:r w:rsidRPr="5C81B748">
        <w:rPr>
          <w:rFonts w:ascii="Verdana" w:hAnsi="Verdana"/>
          <w:sz w:val="20"/>
          <w:szCs w:val="20"/>
          <w:lang w:val="ro-MD"/>
        </w:rPr>
        <w:t xml:space="preserve">Nume: ________________________________________ </w:t>
      </w:r>
    </w:p>
    <w:p w14:paraId="753B704C" w14:textId="17BA6D83" w:rsidR="005929C8" w:rsidRPr="005929C8" w:rsidRDefault="452AF9CB" w:rsidP="5C81B748">
      <w:pPr>
        <w:spacing w:after="0"/>
        <w:jc w:val="both"/>
        <w:rPr>
          <w:rFonts w:ascii="Verdana" w:hAnsi="Verdana"/>
          <w:sz w:val="20"/>
          <w:szCs w:val="20"/>
          <w:lang w:val="ro-MD"/>
        </w:rPr>
      </w:pPr>
      <w:r w:rsidRPr="5C81B748">
        <w:rPr>
          <w:rFonts w:ascii="Verdana" w:hAnsi="Verdana"/>
          <w:sz w:val="20"/>
          <w:szCs w:val="20"/>
          <w:lang w:val="ro-MD"/>
        </w:rPr>
        <w:t>Semnătura: ________________________________________</w:t>
      </w:r>
    </w:p>
    <w:sectPr w:rsidR="005929C8" w:rsidRPr="005929C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C2"/>
    <w:rsid w:val="00196980"/>
    <w:rsid w:val="002431DD"/>
    <w:rsid w:val="00337F0C"/>
    <w:rsid w:val="0044288E"/>
    <w:rsid w:val="005727B2"/>
    <w:rsid w:val="005929C8"/>
    <w:rsid w:val="005B225F"/>
    <w:rsid w:val="005F1EC2"/>
    <w:rsid w:val="0068047A"/>
    <w:rsid w:val="006A2C1B"/>
    <w:rsid w:val="006B67FF"/>
    <w:rsid w:val="006C0B77"/>
    <w:rsid w:val="006D02FC"/>
    <w:rsid w:val="00791BB9"/>
    <w:rsid w:val="008242FF"/>
    <w:rsid w:val="00870751"/>
    <w:rsid w:val="00922C48"/>
    <w:rsid w:val="00A7261A"/>
    <w:rsid w:val="00B915B7"/>
    <w:rsid w:val="00C60011"/>
    <w:rsid w:val="00CC518A"/>
    <w:rsid w:val="00D872CF"/>
    <w:rsid w:val="00EA59DF"/>
    <w:rsid w:val="00EE4070"/>
    <w:rsid w:val="00F12C76"/>
    <w:rsid w:val="00F33FEC"/>
    <w:rsid w:val="452AF9CB"/>
    <w:rsid w:val="5C81B748"/>
    <w:rsid w:val="5F27FE7D"/>
    <w:rsid w:val="70FB5BB6"/>
    <w:rsid w:val="7D8B2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9C23"/>
  <w15:chartTrackingRefBased/>
  <w15:docId w15:val="{5AB0ADE9-5E6F-4A61-AEB0-824C2810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5F1E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F1E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1EC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5F1EC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1EC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F1E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1E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1E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1E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E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1E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1EC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1EC2"/>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5F1EC2"/>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5F1EC2"/>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5F1EC2"/>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5F1EC2"/>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5F1EC2"/>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5F1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E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F1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EC2"/>
    <w:pPr>
      <w:spacing w:before="160"/>
      <w:jc w:val="center"/>
    </w:pPr>
    <w:rPr>
      <w:i/>
      <w:iCs/>
      <w:color w:val="404040" w:themeColor="text1" w:themeTint="BF"/>
    </w:rPr>
  </w:style>
  <w:style w:type="character" w:customStyle="1" w:styleId="QuoteChar">
    <w:name w:val="Quote Char"/>
    <w:basedOn w:val="DefaultParagraphFont"/>
    <w:link w:val="Quote"/>
    <w:uiPriority w:val="29"/>
    <w:rsid w:val="005F1EC2"/>
    <w:rPr>
      <w:rFonts w:ascii="Times New Roman" w:hAnsi="Times New Roman"/>
      <w:i/>
      <w:iCs/>
      <w:color w:val="404040" w:themeColor="text1" w:themeTint="BF"/>
      <w:sz w:val="28"/>
    </w:rPr>
  </w:style>
  <w:style w:type="paragraph" w:styleId="ListParagraph">
    <w:name w:val="List Paragraph"/>
    <w:basedOn w:val="Normal"/>
    <w:uiPriority w:val="34"/>
    <w:qFormat/>
    <w:rsid w:val="005F1EC2"/>
    <w:pPr>
      <w:ind w:left="720"/>
      <w:contextualSpacing/>
    </w:pPr>
  </w:style>
  <w:style w:type="character" w:styleId="IntenseEmphasis">
    <w:name w:val="Intense Emphasis"/>
    <w:basedOn w:val="DefaultParagraphFont"/>
    <w:uiPriority w:val="21"/>
    <w:qFormat/>
    <w:rsid w:val="005F1EC2"/>
    <w:rPr>
      <w:i/>
      <w:iCs/>
      <w:color w:val="2E74B5" w:themeColor="accent1" w:themeShade="BF"/>
    </w:rPr>
  </w:style>
  <w:style w:type="paragraph" w:styleId="IntenseQuote">
    <w:name w:val="Intense Quote"/>
    <w:basedOn w:val="Normal"/>
    <w:next w:val="Normal"/>
    <w:link w:val="IntenseQuoteChar"/>
    <w:uiPriority w:val="30"/>
    <w:qFormat/>
    <w:rsid w:val="005F1E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1EC2"/>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5F1EC2"/>
    <w:rPr>
      <w:b/>
      <w:bCs/>
      <w:smallCaps/>
      <w:color w:val="2E74B5" w:themeColor="accent1" w:themeShade="BF"/>
      <w:spacing w:val="5"/>
    </w:rPr>
  </w:style>
  <w:style w:type="table" w:styleId="TableGrid">
    <w:name w:val="Table Grid"/>
    <w:basedOn w:val="TableNormal"/>
    <w:uiPriority w:val="39"/>
    <w:rsid w:val="0059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929C8"/>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8fcb5-1a26-4911-b3f3-d9da8bd898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7E2C3D0C1EA34D845E8CD589D2637B" ma:contentTypeVersion="10" ma:contentTypeDescription="Create a new document." ma:contentTypeScope="" ma:versionID="dc9715b43f1b2922988345c85c317c0a">
  <xsd:schema xmlns:xsd="http://www.w3.org/2001/XMLSchema" xmlns:xs="http://www.w3.org/2001/XMLSchema" xmlns:p="http://schemas.microsoft.com/office/2006/metadata/properties" xmlns:ns2="1ec8fcb5-1a26-4911-b3f3-d9da8bd898f8" targetNamespace="http://schemas.microsoft.com/office/2006/metadata/properties" ma:root="true" ma:fieldsID="4e8c10b1dbbffa457ca69a80f6b9e2dc" ns2:_="">
    <xsd:import namespace="1ec8fcb5-1a26-4911-b3f3-d9da8bd898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8fcb5-1a26-4911-b3f3-d9da8bd89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35703-AFD0-41B2-ACBE-7A11F88DE18C}">
  <ds:schemaRefs>
    <ds:schemaRef ds:uri="http://schemas.microsoft.com/sharepoint/v3/contenttype/forms"/>
  </ds:schemaRefs>
</ds:datastoreItem>
</file>

<file path=customXml/itemProps2.xml><?xml version="1.0" encoding="utf-8"?>
<ds:datastoreItem xmlns:ds="http://schemas.openxmlformats.org/officeDocument/2006/customXml" ds:itemID="{AAF409BF-BF97-4A88-ADF6-67172B0DB60B}">
  <ds:schemaRefs>
    <ds:schemaRef ds:uri="http://schemas.microsoft.com/office/2006/metadata/properties"/>
    <ds:schemaRef ds:uri="http://schemas.microsoft.com/office/infopath/2007/PartnerControls"/>
    <ds:schemaRef ds:uri="1ec8fcb5-1a26-4911-b3f3-d9da8bd898f8"/>
  </ds:schemaRefs>
</ds:datastoreItem>
</file>

<file path=customXml/itemProps3.xml><?xml version="1.0" encoding="utf-8"?>
<ds:datastoreItem xmlns:ds="http://schemas.openxmlformats.org/officeDocument/2006/customXml" ds:itemID="{9BDD4925-4023-4A7D-A8C1-617D2B40F58D}"/>
</file>

<file path=docProps/app.xml><?xml version="1.0" encoding="utf-8"?>
<Properties xmlns="http://schemas.openxmlformats.org/officeDocument/2006/extended-properties" xmlns:vt="http://schemas.openxmlformats.org/officeDocument/2006/docPropsVTypes">
  <Template>Normal</Template>
  <TotalTime>9</TotalTime>
  <Pages>2</Pages>
  <Words>674</Words>
  <Characters>4294</Characters>
  <Application>Microsoft Office Word</Application>
  <DocSecurity>0</DocSecurity>
  <Lines>89</Lines>
  <Paragraphs>34</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Gribincea, Alexandru</cp:lastModifiedBy>
  <cp:revision>13</cp:revision>
  <dcterms:created xsi:type="dcterms:W3CDTF">2026-01-08T14:59:00Z</dcterms:created>
  <dcterms:modified xsi:type="dcterms:W3CDTF">2026-01-19T14:25:00Z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0x010100AD7E2C3D0C1EA34D845E8CD589D2637B</vt:lpwstr>
  </property>
  <property fmtid="{D5CDD505-2E9C-101B-9397-08002B2CF9AE}" pid="3" name="MediaServiceImageTags">
    <vt:lpwstr/>
  </property>
  <property fmtid="{D5CDD505-2E9C-101B-9397-08002B2CF9AE}" pid="4" name="docLang">
    <vt:lpwstr>ro</vt:lpwstr>
  </property>
</Properties>
</file>