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AD53" w14:textId="77777777" w:rsidR="00272B77" w:rsidRDefault="00272B77" w:rsidP="00272B77">
      <w:pPr>
        <w:spacing w:after="160"/>
        <w:jc w:val="center"/>
        <w:rPr>
          <w:rFonts w:ascii="Arial" w:eastAsia="Arial" w:hAnsi="Arial" w:cs="Arial"/>
          <w:b/>
          <w:bCs/>
          <w:color w:val="1F4E79"/>
          <w:sz w:val="36"/>
          <w:szCs w:val="36"/>
        </w:rPr>
      </w:pPr>
    </w:p>
    <w:p w14:paraId="735BB498" w14:textId="62A4CAA3" w:rsidR="00272B77" w:rsidRDefault="00272B77" w:rsidP="00272B77">
      <w:pPr>
        <w:spacing w:after="160"/>
        <w:jc w:val="center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CAIET DE SARCINI (TERMENI DE REFERINŢĂ)</w:t>
      </w:r>
    </w:p>
    <w:p w14:paraId="202C32D7" w14:textId="77777777" w:rsidR="00272B77" w:rsidRDefault="00272B77" w:rsidP="00272B77">
      <w:pPr>
        <w:spacing w:after="80"/>
        <w:jc w:val="center"/>
      </w:pP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Elaborarea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documentației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tehnice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pentru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sistemul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descentralizat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sanitație</w:t>
      </w:r>
      <w:proofErr w:type="spellEnd"/>
    </w:p>
    <w:p w14:paraId="5AA73340" w14:textId="77777777" w:rsidR="00272B77" w:rsidRDefault="00272B77" w:rsidP="00272B77">
      <w:pPr>
        <w:spacing w:after="48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 xml:space="preserve">cu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fose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septice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individuale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Satul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Telița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>, r-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nul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Anenii</w:t>
      </w:r>
      <w:proofErr w:type="spellEnd"/>
      <w:r>
        <w:rPr>
          <w:rFonts w:ascii="Arial" w:eastAsia="Arial" w:hAnsi="Arial" w:cs="Arial"/>
          <w:b/>
          <w:bCs/>
          <w:sz w:val="26"/>
          <w:szCs w:val="26"/>
        </w:rPr>
        <w:t xml:space="preserve"> Noi</w:t>
      </w:r>
    </w:p>
    <w:p w14:paraId="5B661396" w14:textId="77777777" w:rsidR="00272B77" w:rsidRDefault="00272B77" w:rsidP="00272B77">
      <w:r>
        <w:br w:type="page"/>
      </w:r>
    </w:p>
    <w:p w14:paraId="760A4C90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lastRenderedPageBreak/>
        <w:t>1. INVITAŢIE LA PROCEDURA DE ACHIZIŢIE</w:t>
      </w:r>
    </w:p>
    <w:p w14:paraId="04281FCF" w14:textId="77777777" w:rsidR="00272B77" w:rsidRDefault="00272B77" w:rsidP="00272B7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SALAR International,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organizație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misiune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 </w:t>
      </w:r>
      <w:proofErr w:type="spellStart"/>
      <w:r>
        <w:rPr>
          <w:rFonts w:ascii="Arial" w:eastAsia="Arial" w:hAnsi="Arial" w:cs="Arial"/>
          <w:sz w:val="20"/>
          <w:szCs w:val="20"/>
        </w:rPr>
        <w:t>sprijini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autoritățile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locale, </w:t>
      </w:r>
      <w:proofErr w:type="spellStart"/>
      <w:r>
        <w:rPr>
          <w:rFonts w:ascii="Arial" w:eastAsia="Arial" w:hAnsi="Arial" w:cs="Arial"/>
          <w:sz w:val="20"/>
          <w:szCs w:val="20"/>
        </w:rPr>
        <w:t>implementează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 cu </w:t>
      </w:r>
      <w:proofErr w:type="spellStart"/>
      <w:r>
        <w:rPr>
          <w:rFonts w:ascii="Arial" w:eastAsia="Arial" w:hAnsi="Arial" w:cs="Arial"/>
          <w:sz w:val="20"/>
          <w:szCs w:val="20"/>
        </w:rPr>
        <w:t>finanțare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partea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Agenției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Dezvoltare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(ASDI/Sida).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acordă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sprijin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Primăriei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Noi, Republica Moldova,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vederea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infrastructurii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sanitație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2590678" w14:textId="77777777" w:rsidR="00272B77" w:rsidRDefault="00272B77" w:rsidP="00272B77">
      <w:pPr>
        <w:spacing w:after="80"/>
      </w:pPr>
    </w:p>
    <w:p w14:paraId="7C59DAE5" w14:textId="77777777" w:rsidR="00272B77" w:rsidRDefault="00272B77" w:rsidP="00272B7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lansează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procedură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competitivă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achiziție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selectarea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servicii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proiectare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vederea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complete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descentralizat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sanitație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fose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individuale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E2F70F7" w14:textId="77777777" w:rsidR="00272B77" w:rsidRDefault="00272B77" w:rsidP="00272B77">
      <w:pPr>
        <w:spacing w:after="80"/>
      </w:pPr>
    </w:p>
    <w:p w14:paraId="1D0D6B41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Ofertantii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interesați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invitați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cerințelor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Caiet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6D866F2" w14:textId="77777777" w:rsidR="00272B77" w:rsidRDefault="00272B77" w:rsidP="00272B77">
      <w:pPr>
        <w:spacing w:after="80"/>
      </w:pPr>
    </w:p>
    <w:p w14:paraId="56F20C95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2. CONTEXT ŞI JUSTIFICARE</w:t>
      </w:r>
    </w:p>
    <w:p w14:paraId="1ED99296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implementat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SALAR International cu </w:t>
      </w:r>
      <w:proofErr w:type="spellStart"/>
      <w:r>
        <w:rPr>
          <w:rFonts w:ascii="Arial" w:eastAsia="Arial" w:hAnsi="Arial" w:cs="Arial"/>
          <w:sz w:val="20"/>
          <w:szCs w:val="20"/>
        </w:rPr>
        <w:t>finanțare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ASDI/Sida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urmăreşte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capacității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administrative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infrastructurii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bază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autorităților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partenere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Republica Moldova.</w:t>
      </w:r>
    </w:p>
    <w:p w14:paraId="1BD951E5" w14:textId="77777777" w:rsidR="00272B77" w:rsidRDefault="00272B77" w:rsidP="00272B77">
      <w:pPr>
        <w:spacing w:after="80"/>
      </w:pPr>
    </w:p>
    <w:p w14:paraId="7B278A04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Primăria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Noi,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dintre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APL-urile </w:t>
      </w:r>
      <w:proofErr w:type="spellStart"/>
      <w:r>
        <w:rPr>
          <w:rFonts w:ascii="Arial" w:eastAsia="Arial" w:hAnsi="Arial" w:cs="Arial"/>
          <w:sz w:val="20"/>
          <w:szCs w:val="20"/>
        </w:rPr>
        <w:t>beneficiare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ale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trilateral, </w:t>
      </w:r>
      <w:proofErr w:type="spellStart"/>
      <w:r>
        <w:rPr>
          <w:rFonts w:ascii="Arial" w:eastAsia="Arial" w:hAnsi="Arial" w:cs="Arial"/>
          <w:sz w:val="20"/>
          <w:szCs w:val="20"/>
        </w:rPr>
        <w:t>încheiat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Primăria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Sida </w:t>
      </w:r>
      <w:proofErr w:type="spellStart"/>
      <w:r>
        <w:rPr>
          <w:rFonts w:ascii="Arial" w:eastAsia="Arial" w:hAnsi="Arial" w:cs="Arial"/>
          <w:sz w:val="20"/>
          <w:szCs w:val="20"/>
        </w:rPr>
        <w:t>acționează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Client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donator al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utilizatorul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recepție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tuturor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asupra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elaborate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conform </w:t>
      </w:r>
      <w:proofErr w:type="spellStart"/>
      <w:r>
        <w:rPr>
          <w:rFonts w:ascii="Arial" w:eastAsia="Arial" w:hAnsi="Arial" w:cs="Arial"/>
          <w:sz w:val="20"/>
          <w:szCs w:val="20"/>
        </w:rPr>
        <w:t>Secțiunii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12.</w:t>
      </w:r>
    </w:p>
    <w:p w14:paraId="36E6B4C3" w14:textId="77777777" w:rsidR="00272B77" w:rsidRDefault="00272B77" w:rsidP="00272B77">
      <w:pPr>
        <w:spacing w:after="80"/>
      </w:pPr>
    </w:p>
    <w:p w14:paraId="4BB179AD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Situația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actuală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sanitației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7295BDB5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Satul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un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centralizat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alimentare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apă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gestionat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IM Aqua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 sonde </w:t>
      </w:r>
      <w:proofErr w:type="spellStart"/>
      <w:r>
        <w:rPr>
          <w:rFonts w:ascii="Arial" w:eastAsia="Arial" w:hAnsi="Arial" w:cs="Arial"/>
          <w:sz w:val="20"/>
          <w:szCs w:val="20"/>
        </w:rPr>
        <w:t>arteziene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debite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259 m3/h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15 m3/h).</w:t>
      </w:r>
    </w:p>
    <w:p w14:paraId="759BBD1D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eastAsia="Arial" w:hAnsi="Arial" w:cs="Arial"/>
          <w:sz w:val="20"/>
          <w:szCs w:val="20"/>
        </w:rPr>
        <w:t>rețeaua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conectate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385 de </w:t>
      </w:r>
      <w:proofErr w:type="spellStart"/>
      <w:r>
        <w:rPr>
          <w:rFonts w:ascii="Arial" w:eastAsia="Arial" w:hAnsi="Arial" w:cs="Arial"/>
          <w:sz w:val="20"/>
          <w:szCs w:val="20"/>
        </w:rPr>
        <w:t>gospodării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casnice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6 </w:t>
      </w:r>
      <w:proofErr w:type="spellStart"/>
      <w:r>
        <w:rPr>
          <w:rFonts w:ascii="Arial" w:eastAsia="Arial" w:hAnsi="Arial" w:cs="Arial"/>
          <w:sz w:val="20"/>
          <w:szCs w:val="20"/>
        </w:rPr>
        <w:t>instituții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13 </w:t>
      </w:r>
      <w:proofErr w:type="spellStart"/>
      <w:r>
        <w:rPr>
          <w:rFonts w:ascii="Arial" w:eastAsia="Arial" w:hAnsi="Arial" w:cs="Arial"/>
          <w:sz w:val="20"/>
          <w:szCs w:val="20"/>
        </w:rPr>
        <w:t>agenți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economici (total 404 </w:t>
      </w:r>
      <w:proofErr w:type="spellStart"/>
      <w:r>
        <w:rPr>
          <w:rFonts w:ascii="Arial" w:eastAsia="Arial" w:hAnsi="Arial" w:cs="Arial"/>
          <w:sz w:val="20"/>
          <w:szCs w:val="20"/>
        </w:rPr>
        <w:t>obiecte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72B3052E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Nu </w:t>
      </w:r>
      <w:proofErr w:type="spellStart"/>
      <w:r>
        <w:rPr>
          <w:rFonts w:ascii="Arial" w:eastAsia="Arial" w:hAnsi="Arial" w:cs="Arial"/>
          <w:sz w:val="20"/>
          <w:szCs w:val="20"/>
        </w:rPr>
        <w:t>există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colectare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evacuare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Evacuarea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realizează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hazne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individuale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8DABB75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Numărul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estimativ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utilizatori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permanenți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aproximativ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320. </w:t>
      </w:r>
      <w:proofErr w:type="spellStart"/>
      <w:r>
        <w:rPr>
          <w:rFonts w:ascii="Arial" w:eastAsia="Arial" w:hAnsi="Arial" w:cs="Arial"/>
          <w:sz w:val="20"/>
          <w:szCs w:val="20"/>
        </w:rPr>
        <w:t>Volumul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ape </w:t>
      </w:r>
      <w:proofErr w:type="spellStart"/>
      <w:r>
        <w:rPr>
          <w:rFonts w:ascii="Arial" w:eastAsia="Arial" w:hAnsi="Arial" w:cs="Arial"/>
          <w:sz w:val="20"/>
          <w:szCs w:val="20"/>
        </w:rPr>
        <w:t>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generate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estimat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15-20 m3/zi.</w:t>
      </w:r>
    </w:p>
    <w:p w14:paraId="5A565A2F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Conform </w:t>
      </w:r>
      <w:proofErr w:type="spellStart"/>
      <w:r>
        <w:rPr>
          <w:rFonts w:ascii="Arial" w:eastAsia="Arial" w:hAnsi="Arial" w:cs="Arial"/>
          <w:sz w:val="20"/>
          <w:szCs w:val="20"/>
        </w:rPr>
        <w:t>Planului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Național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sanitație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identificată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 </w:t>
      </w:r>
      <w:proofErr w:type="spellStart"/>
      <w:r>
        <w:rPr>
          <w:rFonts w:ascii="Arial" w:eastAsia="Arial" w:hAnsi="Arial" w:cs="Arial"/>
          <w:sz w:val="20"/>
          <w:szCs w:val="20"/>
        </w:rPr>
        <w:t>localitate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conectată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sisteme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centralizate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regionale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datorită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situației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geografice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urmand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fi </w:t>
      </w:r>
      <w:proofErr w:type="spellStart"/>
      <w:r>
        <w:rPr>
          <w:rFonts w:ascii="Arial" w:eastAsia="Arial" w:hAnsi="Arial" w:cs="Arial"/>
          <w:sz w:val="20"/>
          <w:szCs w:val="20"/>
        </w:rPr>
        <w:t>identificate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soluții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locale.</w:t>
      </w:r>
    </w:p>
    <w:p w14:paraId="3DCE9F61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Cea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apropiată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epurare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Bulboaca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aprox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4 km)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Speia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aprox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5 km), </w:t>
      </w:r>
      <w:proofErr w:type="spellStart"/>
      <w:r>
        <w:rPr>
          <w:rFonts w:ascii="Arial" w:eastAsia="Arial" w:hAnsi="Arial" w:cs="Arial"/>
          <w:sz w:val="20"/>
          <w:szCs w:val="20"/>
        </w:rPr>
        <w:t>ambele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capacitate </w:t>
      </w:r>
      <w:proofErr w:type="spellStart"/>
      <w:r>
        <w:rPr>
          <w:rFonts w:ascii="Arial" w:eastAsia="Arial" w:hAnsi="Arial" w:cs="Arial"/>
          <w:sz w:val="20"/>
          <w:szCs w:val="20"/>
        </w:rPr>
        <w:t>suficientă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 </w:t>
      </w:r>
      <w:proofErr w:type="spellStart"/>
      <w:r>
        <w:rPr>
          <w:rFonts w:ascii="Arial" w:eastAsia="Arial" w:hAnsi="Arial" w:cs="Arial"/>
          <w:sz w:val="20"/>
          <w:szCs w:val="20"/>
        </w:rPr>
        <w:t>prelua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volumele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estimate de ape </w:t>
      </w:r>
      <w:proofErr w:type="spellStart"/>
      <w:r>
        <w:rPr>
          <w:rFonts w:ascii="Arial" w:eastAsia="Arial" w:hAnsi="Arial" w:cs="Arial"/>
          <w:sz w:val="20"/>
          <w:szCs w:val="20"/>
        </w:rPr>
        <w:t>uzate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AC53211" w14:textId="77777777" w:rsidR="00272B77" w:rsidRDefault="00272B77" w:rsidP="00272B77">
      <w:pPr>
        <w:spacing w:after="80"/>
      </w:pPr>
    </w:p>
    <w:p w14:paraId="3A1E8A3F" w14:textId="77777777" w:rsidR="00272B77" w:rsidRDefault="00272B77" w:rsidP="00272B77">
      <w:pPr>
        <w:pBdr>
          <w:left w:val="single" w:sz="8" w:space="8" w:color="1F4E79"/>
        </w:pBdr>
        <w:spacing w:before="80" w:after="80"/>
        <w:jc w:val="both"/>
      </w:pP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Notă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privind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soluția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tehnică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Soluția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preliminară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propusă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Beneficiar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constă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într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-o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fosă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septică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individuală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per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gospodărie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sau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obiect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Această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soluție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bazează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pe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caracteristicile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comunității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gradul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ridicat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migrație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temporară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şi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preferințele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operaționale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ale APL.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Soluția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tehnică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finală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trebuie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confirmată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Prestator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pe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baza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studiului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hidrogeologic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normelor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tehnice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aplicabile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constrângerilor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amplasament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accesibilității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pentru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vehiculul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vidanjare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şi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cerințelor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autorităților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avizare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Prestatorul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poate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propune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configurații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alternative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dacă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acestea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sunt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justificate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tehnic</w:t>
      </w:r>
      <w:proofErr w:type="spellEnd"/>
      <w:r>
        <w:rPr>
          <w:rFonts w:ascii="Arial" w:eastAsia="Arial" w:hAnsi="Arial" w:cs="Arial"/>
          <w:i/>
          <w:iCs/>
          <w:color w:val="444444"/>
          <w:sz w:val="18"/>
          <w:szCs w:val="18"/>
        </w:rPr>
        <w:t>.</w:t>
      </w:r>
    </w:p>
    <w:p w14:paraId="40AA6515" w14:textId="77777777" w:rsidR="00272B77" w:rsidRDefault="00272B77" w:rsidP="00272B77">
      <w:pPr>
        <w:spacing w:after="80"/>
      </w:pPr>
    </w:p>
    <w:p w14:paraId="63F4BA6E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3. OBIECTUL CONTRACTULUI</w:t>
      </w:r>
    </w:p>
    <w:p w14:paraId="3EA10C11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Obiectul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complete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implementarea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descentralizat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sanitație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fose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individuale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Noi, </w:t>
      </w:r>
      <w:proofErr w:type="spellStart"/>
      <w:r>
        <w:rPr>
          <w:rFonts w:ascii="Arial" w:eastAsia="Arial" w:hAnsi="Arial" w:cs="Arial"/>
          <w:sz w:val="20"/>
          <w:szCs w:val="20"/>
        </w:rPr>
        <w:t>incluzând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studiu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hidrogeologic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(PT), </w:t>
      </w: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detaliate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caiet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specificații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achiziția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autovehicul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vidanjare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vidanjare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registru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riscuri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asistență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obținerea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dosar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eligibil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programe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finanțare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Programul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European III (</w:t>
      </w:r>
      <w:proofErr w:type="spellStart"/>
      <w:r>
        <w:rPr>
          <w:rFonts w:ascii="Arial" w:eastAsia="Arial" w:hAnsi="Arial" w:cs="Arial"/>
          <w:sz w:val="20"/>
          <w:szCs w:val="20"/>
        </w:rPr>
        <w:t>lansare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estimată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septembrie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2026).</w:t>
      </w:r>
    </w:p>
    <w:p w14:paraId="4358B68D" w14:textId="77777777" w:rsidR="00272B77" w:rsidRDefault="00272B77" w:rsidP="00272B77">
      <w:pPr>
        <w:spacing w:after="80"/>
      </w:pPr>
    </w:p>
    <w:p w14:paraId="3D6018EA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4. SERVICII INCLUSE ŞI EXCLUSE</w:t>
      </w:r>
    </w:p>
    <w:p w14:paraId="2AA88CBF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0"/>
        <w:gridCol w:w="2000"/>
        <w:gridCol w:w="2038"/>
      </w:tblGrid>
      <w:tr w:rsidR="00272B77" w14:paraId="49CE6314" w14:textId="77777777" w:rsidTr="002837A1">
        <w:trPr>
          <w:tblHeader/>
        </w:trPr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C36A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Serviciu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9988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Inclus</w:t>
            </w:r>
            <w:proofErr w:type="spellEnd"/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C860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Exclus</w:t>
            </w:r>
            <w:proofErr w:type="spellEnd"/>
          </w:p>
        </w:tc>
      </w:tr>
      <w:tr w:rsidR="00272B77" w14:paraId="21F64C6B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BDA60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zonei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localității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552C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50465" w14:textId="77777777" w:rsidR="00272B77" w:rsidRDefault="00272B77" w:rsidP="002837A1"/>
        </w:tc>
      </w:tr>
      <w:tr w:rsidR="00272B77" w14:paraId="1BF7716A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E616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Utilizarea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topografice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dispoziție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verificarea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acesteia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identificarea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datelor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lipsă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proiectării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Orice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actualizare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completare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punctuală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necesară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trebuie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delimitată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BF05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0AC85" w14:textId="77777777" w:rsidR="00272B77" w:rsidRDefault="00272B77" w:rsidP="002837A1"/>
        </w:tc>
      </w:tr>
      <w:tr w:rsidR="00272B77" w14:paraId="716D3E2B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6B62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Elaborarea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topografic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responsabilitate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74E1D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C74E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75472C18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6F4A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(PT)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570D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66902" w14:textId="77777777" w:rsidR="00272B77" w:rsidRDefault="00272B77" w:rsidP="002837A1"/>
        </w:tc>
      </w:tr>
      <w:tr w:rsidR="00272B77" w14:paraId="5E3BD3E1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381A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general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234C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02802" w14:textId="77777777" w:rsidR="00272B77" w:rsidRDefault="00272B77" w:rsidP="002837A1"/>
        </w:tc>
      </w:tr>
      <w:tr w:rsidR="00272B77" w14:paraId="2D19701E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C420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Caiet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lucrările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montaj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D872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65B4D" w14:textId="77777777" w:rsidR="00272B77" w:rsidRDefault="00272B77" w:rsidP="002837A1"/>
        </w:tc>
      </w:tr>
      <w:tr w:rsidR="00272B77" w14:paraId="02AE713B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EEBE4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Memoriu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explicativ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C5E1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3B25E" w14:textId="77777777" w:rsidR="00272B77" w:rsidRDefault="00272B77" w:rsidP="002837A1"/>
        </w:tc>
      </w:tr>
      <w:tr w:rsidR="00272B77" w14:paraId="749DA0CF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A96E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condițiilor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vehiculului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categorie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identificarea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constrângerilor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D390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08E3E" w14:textId="77777777" w:rsidR="00272B77" w:rsidRDefault="00272B77" w:rsidP="002837A1"/>
        </w:tc>
      </w:tr>
      <w:tr w:rsidR="00272B77" w14:paraId="173C68B1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F1F8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frecvența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evacuare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categorie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bazată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volumele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estimate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dimensionarea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foselor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A7C4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D9224" w14:textId="77777777" w:rsidR="00272B77" w:rsidRDefault="00272B77" w:rsidP="002837A1"/>
        </w:tc>
      </w:tr>
      <w:tr w:rsidR="00272B77" w14:paraId="6F271801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8FA3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funcționale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nediscriminatorii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autovehiculului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referinte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mărci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comerciale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3AE0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81629" w14:textId="77777777" w:rsidR="00272B77" w:rsidRDefault="00272B77" w:rsidP="002837A1"/>
        </w:tc>
      </w:tr>
      <w:tr w:rsidR="00272B77" w14:paraId="029D3CBE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0DAF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protecția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freatice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proprietăți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private,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disponibilitatea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epurare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receptoare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D38A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25ED7" w14:textId="77777777" w:rsidR="00272B77" w:rsidRDefault="00272B77" w:rsidP="002837A1"/>
        </w:tc>
      </w:tr>
      <w:tr w:rsidR="00272B77" w14:paraId="5719A941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0084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impactului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asupra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mediului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(EIM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simplificată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solicitată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autoritățile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competente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B9CE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E874E" w14:textId="77777777" w:rsidR="00272B77" w:rsidRDefault="00272B77" w:rsidP="002837A1"/>
        </w:tc>
      </w:tr>
      <w:tr w:rsidR="00272B77" w14:paraId="6F09FA87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F0E70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Pregătirea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dosarelor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asistență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operator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-canal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9A0C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9ADB5" w14:textId="77777777" w:rsidR="00272B77" w:rsidRDefault="00272B77" w:rsidP="002837A1"/>
        </w:tc>
      </w:tr>
      <w:tr w:rsidR="00272B77" w14:paraId="553E164D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CFDF5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Depunerea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oficială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cererilor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plata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taxelor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tarifelor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oficiale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responsabilitate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excepția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cazului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convine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altfel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scris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79603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2F49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F46C2B1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A72D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revizuire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documentației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3BCE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1CE5E" w14:textId="77777777" w:rsidR="00272B77" w:rsidRDefault="00272B77" w:rsidP="002837A1"/>
        </w:tc>
      </w:tr>
      <w:tr w:rsidR="00272B77" w14:paraId="053FB904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7D24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Lucrări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construcție-montaj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A9654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5F8A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89B214E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98C5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9E729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5C59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DD96F26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97E2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autovehiculului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AAA8A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D455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8261854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9D12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Taxele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tarifele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autorizațiilor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9C8E5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CB91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66EC5C9" w14:textId="77777777" w:rsidTr="002837A1"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007F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Extrase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carte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funciară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furnizate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F3499" w14:textId="77777777" w:rsidR="00272B77" w:rsidRDefault="00272B77" w:rsidP="002837A1"/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1BA8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</w:tbl>
    <w:p w14:paraId="02A66E97" w14:textId="77777777" w:rsidR="00272B77" w:rsidRDefault="00272B77" w:rsidP="00272B77">
      <w:pPr>
        <w:spacing w:after="80"/>
      </w:pPr>
    </w:p>
    <w:p w14:paraId="45ED3DAB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5. DESCRIEREA OBIECTULUI ŞI SPECIFICAŢII TEHNICE</w:t>
      </w:r>
    </w:p>
    <w:p w14:paraId="3963A669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5.1.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Parametri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tehnici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principali</w:t>
      </w:r>
      <w:proofErr w:type="spellEnd"/>
    </w:p>
    <w:p w14:paraId="3EF3DA18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5838"/>
      </w:tblGrid>
      <w:tr w:rsidR="00272B77" w14:paraId="206834C2" w14:textId="77777777" w:rsidTr="002837A1">
        <w:trPr>
          <w:tblHeader/>
        </w:trPr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29D4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Parametru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9002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Descriere</w:t>
            </w:r>
            <w:proofErr w:type="spellEnd"/>
          </w:p>
        </w:tc>
      </w:tr>
      <w:tr w:rsidR="00272B77" w14:paraId="4619F777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CC6B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Număr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beneficiare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095A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404 (385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gospodării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+ 6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publice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+ 13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agenți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economici)</w:t>
            </w:r>
          </w:p>
        </w:tc>
      </w:tr>
      <w:tr w:rsidR="00272B77" w14:paraId="2210D80C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77B3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Utilizatori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permanenți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estimați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F489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Aproximativ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320</w:t>
            </w:r>
          </w:p>
        </w:tc>
      </w:tr>
      <w:tr w:rsidR="00272B77" w14:paraId="1C908986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CFC4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estimate</w:t>
            </w:r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636C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15-20 m3/zi</w:t>
            </w:r>
          </w:p>
        </w:tc>
      </w:tr>
      <w:tr w:rsidR="00272B77" w14:paraId="2566B3B2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89EB0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preliminară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propusă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CAAF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Fose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gospodărie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normelor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aplicabile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72B77" w14:paraId="54C92B38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88CD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Adâncime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îngheț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F80B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Maxim 70 cm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suprafața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solului</w:t>
            </w:r>
            <w:proofErr w:type="spellEnd"/>
          </w:p>
        </w:tc>
      </w:tr>
      <w:tr w:rsidR="00272B77" w14:paraId="4393A77A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BD52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Date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geotehnice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hidrogeologice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D939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necesar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există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APL)</w:t>
            </w:r>
          </w:p>
        </w:tc>
      </w:tr>
      <w:tr w:rsidR="00272B77" w14:paraId="0B7A4688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CBFD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topografic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7C69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Parțial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utilizează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identifică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eventualele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lacune.</w:t>
            </w:r>
          </w:p>
        </w:tc>
      </w:tr>
      <w:tr w:rsidR="00272B77" w14:paraId="74237AB0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0814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Operator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existent</w:t>
            </w:r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D8C7D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IM Aqua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(2 sonde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arteziene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259 m3/h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 m3/h)</w:t>
            </w:r>
          </w:p>
        </w:tc>
      </w:tr>
      <w:tr w:rsidR="00272B77" w14:paraId="42A7EB66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6A5A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Rețele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subterane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drumuri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CD65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gaze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telecomunicații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amplasează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proprietăți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private)</w:t>
            </w:r>
          </w:p>
        </w:tc>
      </w:tr>
      <w:tr w:rsidR="00272B77" w14:paraId="39C3AAF5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E847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Destinație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vidanjate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BBB7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epurare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Bulboaca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aprox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4 km)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aprox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5 km)</w:t>
            </w:r>
          </w:p>
        </w:tc>
      </w:tr>
      <w:tr w:rsidR="00272B77" w14:paraId="229944D4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253F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Zonă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protejată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(Natura 2000)</w:t>
            </w:r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C183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Nu</w:t>
            </w:r>
          </w:p>
        </w:tc>
      </w:tr>
      <w:tr w:rsidR="00272B77" w14:paraId="69A732B8" w14:textId="77777777" w:rsidTr="002837A1"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24CD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existente</w:t>
            </w:r>
            <w:proofErr w:type="spellEnd"/>
          </w:p>
        </w:tc>
        <w:tc>
          <w:tcPr>
            <w:tcW w:w="58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B779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există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certificate de urbanism,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mediu</w:t>
            </w:r>
            <w:proofErr w:type="spellEnd"/>
          </w:p>
        </w:tc>
      </w:tr>
    </w:tbl>
    <w:p w14:paraId="4E51A166" w14:textId="77777777" w:rsidR="00272B77" w:rsidRDefault="00272B77" w:rsidP="00272B77">
      <w:pPr>
        <w:spacing w:after="80"/>
      </w:pPr>
    </w:p>
    <w:p w14:paraId="2CA996C1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5.2.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Obiecte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beneficiare</w:t>
      </w:r>
      <w:proofErr w:type="spellEnd"/>
    </w:p>
    <w:p w14:paraId="010935A5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000"/>
        <w:gridCol w:w="4038"/>
      </w:tblGrid>
      <w:tr w:rsidR="00272B77" w14:paraId="1B7311A3" w14:textId="77777777" w:rsidTr="002837A1">
        <w:trPr>
          <w:tblHeader/>
        </w:trPr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BB20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Categorie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90A5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obiecte</w:t>
            </w:r>
            <w:proofErr w:type="spellEnd"/>
          </w:p>
        </w:tc>
        <w:tc>
          <w:tcPr>
            <w:tcW w:w="4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E641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Observații</w:t>
            </w:r>
            <w:proofErr w:type="spellEnd"/>
          </w:p>
        </w:tc>
      </w:tr>
      <w:tr w:rsidR="00272B77" w14:paraId="29D6EA2E" w14:textId="77777777" w:rsidTr="002837A1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86C0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Gospodării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casnice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57C9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385</w:t>
            </w:r>
          </w:p>
        </w:tc>
        <w:tc>
          <w:tcPr>
            <w:tcW w:w="4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9BF9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Conectate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apeductul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existent al IM Aqua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</w:p>
        </w:tc>
      </w:tr>
      <w:tr w:rsidR="00272B77" w14:paraId="3D14BDEF" w14:textId="77777777" w:rsidTr="002837A1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2ABA5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FB6F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B6D15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Şcoli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primărie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instituții</w:t>
            </w:r>
            <w:proofErr w:type="spellEnd"/>
          </w:p>
        </w:tc>
      </w:tr>
      <w:tr w:rsidR="00272B77" w14:paraId="47EE0571" w14:textId="77777777" w:rsidTr="002837A1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744AD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Agenți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economici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juridice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28C4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4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D0538" w14:textId="77777777" w:rsidR="00272B77" w:rsidRDefault="00272B77" w:rsidP="002837A1"/>
        </w:tc>
      </w:tr>
      <w:tr w:rsidR="00272B77" w14:paraId="297D3F1A" w14:textId="77777777" w:rsidTr="002837A1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3A09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365FD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404</w:t>
            </w:r>
          </w:p>
        </w:tc>
        <w:tc>
          <w:tcPr>
            <w:tcW w:w="4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C8529" w14:textId="77777777" w:rsidR="00272B77" w:rsidRDefault="00272B77" w:rsidP="002837A1"/>
        </w:tc>
      </w:tr>
    </w:tbl>
    <w:p w14:paraId="44EA8DAE" w14:textId="77777777" w:rsidR="00272B77" w:rsidRDefault="00272B77" w:rsidP="00272B77">
      <w:pPr>
        <w:spacing w:after="80"/>
      </w:pPr>
    </w:p>
    <w:p w14:paraId="754A1FC1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5.3.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Specificații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tehnice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obligatorii</w:t>
      </w:r>
      <w:proofErr w:type="spellEnd"/>
    </w:p>
    <w:p w14:paraId="37B11D42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Fosele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individuale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proiectate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SM EN 12566-1:2006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standardului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echivalent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Republica Moldova, cu </w:t>
      </w:r>
      <w:proofErr w:type="spellStart"/>
      <w:r>
        <w:rPr>
          <w:rFonts w:ascii="Arial" w:eastAsia="Arial" w:hAnsi="Arial" w:cs="Arial"/>
          <w:sz w:val="20"/>
          <w:szCs w:val="20"/>
        </w:rPr>
        <w:t>confirmare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hidrogeologic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0BC476B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Dimensionarea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realizată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debitelor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estimate, </w:t>
      </w:r>
      <w:proofErr w:type="spellStart"/>
      <w:r>
        <w:rPr>
          <w:rFonts w:ascii="Arial" w:eastAsia="Arial" w:hAnsi="Arial" w:cs="Arial"/>
          <w:sz w:val="20"/>
          <w:szCs w:val="20"/>
        </w:rPr>
        <w:t>normativelor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naționale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(NCM G.03.02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echivalent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cerințelor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epurare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receptoare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0C908F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Amplasarea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foselor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propusă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astfel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încât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asigure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vehiculului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vidanjare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prioritate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proprietățile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evitând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rețelele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subterane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existente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căile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712C318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Specificațiile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autovehiculul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vidanjare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funcționale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nediscriminatorii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bazate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necesitățile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referințe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mărci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modele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comerciale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specifice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5D36761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respecta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procedurale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dosarelor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autoritățile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avizare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A31D127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>
        <w:rPr>
          <w:rFonts w:ascii="Arial" w:eastAsia="Arial" w:hAnsi="Arial" w:cs="Arial"/>
          <w:sz w:val="20"/>
          <w:szCs w:val="20"/>
        </w:rPr>
        <w:t>calculul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asupra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calității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freatice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măsuri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pe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hidrogeologic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43181A2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Devizele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elaborate conform </w:t>
      </w:r>
      <w:proofErr w:type="spellStart"/>
      <w:r>
        <w:rPr>
          <w:rFonts w:ascii="Arial" w:eastAsia="Arial" w:hAnsi="Arial" w:cs="Arial"/>
          <w:sz w:val="20"/>
          <w:szCs w:val="20"/>
        </w:rPr>
        <w:t>normativelor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RM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vigoare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compatibile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programului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European III.</w:t>
      </w:r>
    </w:p>
    <w:p w14:paraId="0A471419" w14:textId="77777777" w:rsidR="00272B77" w:rsidRDefault="00272B77" w:rsidP="00272B77">
      <w:pPr>
        <w:spacing w:after="80"/>
      </w:pPr>
    </w:p>
    <w:p w14:paraId="63DABA4D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6. CERINŢE TEHNICE GENERALE OBLIGATORII</w:t>
      </w:r>
    </w:p>
    <w:p w14:paraId="592A1727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legislația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Republicii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Moldova, </w:t>
      </w:r>
      <w:proofErr w:type="spellStart"/>
      <w:r>
        <w:rPr>
          <w:rFonts w:ascii="Arial" w:eastAsia="Arial" w:hAnsi="Arial" w:cs="Arial"/>
          <w:sz w:val="20"/>
          <w:szCs w:val="20"/>
        </w:rPr>
        <w:t>normele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standardele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vigoare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descentralizate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sanitație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foselor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septice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EC724AF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predate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format </w:t>
      </w:r>
      <w:proofErr w:type="spellStart"/>
      <w:r>
        <w:rPr>
          <w:rFonts w:ascii="Arial" w:eastAsia="Arial" w:hAnsi="Arial" w:cs="Arial"/>
          <w:sz w:val="20"/>
          <w:szCs w:val="20"/>
        </w:rPr>
        <w:t>editabil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(.</w:t>
      </w:r>
      <w:proofErr w:type="spellStart"/>
      <w:r>
        <w:rPr>
          <w:rFonts w:ascii="Arial" w:eastAsia="Arial" w:hAnsi="Arial" w:cs="Arial"/>
          <w:sz w:val="20"/>
          <w:szCs w:val="20"/>
        </w:rPr>
        <w:t>dwg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.docx, .xlsx)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PDF, plus 3 </w:t>
      </w:r>
      <w:proofErr w:type="spellStart"/>
      <w:r>
        <w:rPr>
          <w:rFonts w:ascii="Arial" w:eastAsia="Arial" w:hAnsi="Arial" w:cs="Arial"/>
          <w:sz w:val="20"/>
          <w:szCs w:val="20"/>
        </w:rPr>
        <w:t>exemplare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tipărite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la </w:t>
      </w:r>
      <w:proofErr w:type="spellStart"/>
      <w:r>
        <w:rPr>
          <w:rFonts w:ascii="Arial" w:eastAsia="Arial" w:hAnsi="Arial" w:cs="Arial"/>
          <w:sz w:val="20"/>
          <w:szCs w:val="20"/>
        </w:rPr>
        <w:t>sediul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fişă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predare-primire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semnată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8D72E87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efectua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minimum 2 </w:t>
      </w:r>
      <w:proofErr w:type="spellStart"/>
      <w:r>
        <w:rPr>
          <w:rFonts w:ascii="Arial" w:eastAsia="Arial" w:hAnsi="Arial" w:cs="Arial"/>
          <w:sz w:val="20"/>
          <w:szCs w:val="20"/>
        </w:rPr>
        <w:t>vizite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teren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culegerea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verificarea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topografice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disponibile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amplasament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220F2E4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>
        <w:rPr>
          <w:rFonts w:ascii="Arial" w:eastAsia="Arial" w:hAnsi="Arial" w:cs="Arial"/>
          <w:sz w:val="20"/>
          <w:szCs w:val="20"/>
        </w:rPr>
        <w:t>semnătura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parafa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proiectantului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verificatorului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autorizat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5130CC9" w14:textId="77777777" w:rsidR="00272B77" w:rsidRDefault="00272B77" w:rsidP="00272B77">
      <w:pPr>
        <w:pStyle w:val="ListParagraph"/>
        <w:keepNext w:val="0"/>
        <w:numPr>
          <w:ilvl w:val="0"/>
          <w:numId w:val="27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structurată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astfel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încât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fie direct </w:t>
      </w:r>
      <w:proofErr w:type="spellStart"/>
      <w:r>
        <w:rPr>
          <w:rFonts w:ascii="Arial" w:eastAsia="Arial" w:hAnsi="Arial" w:cs="Arial"/>
          <w:sz w:val="20"/>
          <w:szCs w:val="20"/>
        </w:rPr>
        <w:t>utilizabilă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lansarea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procedurilor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avizare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program de </w:t>
      </w:r>
      <w:proofErr w:type="spellStart"/>
      <w:r>
        <w:rPr>
          <w:rFonts w:ascii="Arial" w:eastAsia="Arial" w:hAnsi="Arial" w:cs="Arial"/>
          <w:sz w:val="20"/>
          <w:szCs w:val="20"/>
        </w:rPr>
        <w:t>finanțare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6DE73E0" w14:textId="77777777" w:rsidR="00272B77" w:rsidRDefault="00272B77" w:rsidP="00272B77">
      <w:pPr>
        <w:spacing w:after="80"/>
      </w:pPr>
    </w:p>
    <w:p w14:paraId="4F105821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7. LIVRABILE OBLIGATORII</w:t>
      </w:r>
    </w:p>
    <w:p w14:paraId="4111B84A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900"/>
        <w:gridCol w:w="2400"/>
        <w:gridCol w:w="3638"/>
      </w:tblGrid>
      <w:tr w:rsidR="00272B77" w14:paraId="0737706C" w14:textId="77777777" w:rsidTr="002837A1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7C19A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B1F2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Livrabil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76F83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Termen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DEC1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Observații</w:t>
            </w:r>
            <w:proofErr w:type="spellEnd"/>
          </w:p>
        </w:tc>
      </w:tr>
      <w:tr w:rsidR="00272B77" w14:paraId="1CF4CE4E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0A3F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E440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Raport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inițiere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plan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activități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identificarea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lacunelor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topografică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disponibilă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53E9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lucrătoare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57C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aprobare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SALAR</w:t>
            </w:r>
          </w:p>
        </w:tc>
      </w:tr>
      <w:tr w:rsidR="00272B77" w14:paraId="1EA7EDDA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B4BC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79332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zonei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6C71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0CD1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Obligatoriu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dimensionare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corectă</w:t>
            </w:r>
            <w:proofErr w:type="spellEnd"/>
          </w:p>
        </w:tc>
      </w:tr>
      <w:tr w:rsidR="00272B77" w14:paraId="1E5C1B2F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C948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A815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(PT) draft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1BED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2900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Include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piesele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desenate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</w:p>
        </w:tc>
      </w:tr>
      <w:tr w:rsidR="00272B77" w14:paraId="604566B1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BAE3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77382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general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categorii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721E9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CBFC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Compatibile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cerințele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Sat European III</w:t>
            </w:r>
          </w:p>
        </w:tc>
      </w:tr>
      <w:tr w:rsidR="00272B77" w14:paraId="1A7569CE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17FB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EAE5C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Caiet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lucrările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3CF7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A21F4" w14:textId="77777777" w:rsidR="00272B77" w:rsidRDefault="00272B77" w:rsidP="002837A1"/>
        </w:tc>
      </w:tr>
      <w:tr w:rsidR="00272B77" w14:paraId="69072FF9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8C75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46E0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Memoriu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explicativ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F0F4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A5B8D" w14:textId="77777777" w:rsidR="00272B77" w:rsidRDefault="00272B77" w:rsidP="002837A1"/>
        </w:tc>
      </w:tr>
      <w:tr w:rsidR="00272B77" w14:paraId="4BE51BD8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8581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96FF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condițiilor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vehiculului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categorie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identificarea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constrângerilor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soluții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9DE6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5F6AD" w14:textId="77777777" w:rsidR="00272B77" w:rsidRDefault="00272B77" w:rsidP="002837A1"/>
        </w:tc>
      </w:tr>
      <w:tr w:rsidR="00272B77" w14:paraId="27ED54FC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A14D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F7BF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frecvența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evacuare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categorie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bazată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volumele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estimate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dimensionarea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foselor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7B1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6CCD8" w14:textId="77777777" w:rsidR="00272B77" w:rsidRDefault="00272B77" w:rsidP="002837A1"/>
        </w:tc>
      </w:tr>
      <w:tr w:rsidR="00272B77" w14:paraId="0647604E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20B3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4CAEB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funcționale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autovehiculului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mărci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modele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96AF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097E85" w14:textId="77777777" w:rsidR="00272B77" w:rsidRDefault="00272B77" w:rsidP="002837A1"/>
        </w:tc>
      </w:tr>
      <w:tr w:rsidR="00272B77" w14:paraId="5AFE672F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6355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98D32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protecția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freatice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proprietăți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private,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disponibilitatea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receptoare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A865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Odată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PT draft</w:t>
            </w:r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17766" w14:textId="77777777" w:rsidR="00272B77" w:rsidRDefault="00272B77" w:rsidP="002837A1"/>
        </w:tc>
      </w:tr>
      <w:tr w:rsidR="00272B77" w14:paraId="5E41E04C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95BD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4A11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solicitată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simplificată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obligatoriu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5D24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Conform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termenelor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autorităților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14B4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APL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asistă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taxele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rămân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sarcina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Beneficiarului</w:t>
            </w:r>
            <w:proofErr w:type="spellEnd"/>
          </w:p>
        </w:tc>
      </w:tr>
      <w:tr w:rsidR="00272B77" w14:paraId="5CFEF672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6A6F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0260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Dosar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final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versiune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revizuită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max.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F9B4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90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3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4F09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Acceptat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scris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APL</w:t>
            </w:r>
          </w:p>
        </w:tc>
      </w:tr>
    </w:tbl>
    <w:p w14:paraId="3C415DBD" w14:textId="77777777" w:rsidR="00272B77" w:rsidRDefault="00272B77" w:rsidP="00272B77">
      <w:pPr>
        <w:spacing w:after="80"/>
      </w:pPr>
    </w:p>
    <w:p w14:paraId="32B5EBD6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Procedura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revizuire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la </w:t>
      </w:r>
      <w:proofErr w:type="spellStart"/>
      <w:r>
        <w:rPr>
          <w:rFonts w:ascii="Arial" w:eastAsia="Arial" w:hAnsi="Arial" w:cs="Arial"/>
          <w:sz w:val="20"/>
          <w:szCs w:val="20"/>
        </w:rPr>
        <w:t>dispoziție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revizuire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transmiterea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răspunde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7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Sunt </w:t>
      </w:r>
      <w:proofErr w:type="spellStart"/>
      <w:r>
        <w:rPr>
          <w:rFonts w:ascii="Arial" w:eastAsia="Arial" w:hAnsi="Arial" w:cs="Arial"/>
          <w:sz w:val="20"/>
          <w:szCs w:val="20"/>
        </w:rPr>
        <w:t>permise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maximum 2 </w:t>
      </w:r>
      <w:proofErr w:type="spellStart"/>
      <w:r>
        <w:rPr>
          <w:rFonts w:ascii="Arial" w:eastAsia="Arial" w:hAnsi="Arial" w:cs="Arial"/>
          <w:sz w:val="20"/>
          <w:szCs w:val="20"/>
        </w:rPr>
        <w:t>runde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revizuire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82531DC" w14:textId="77777777" w:rsidR="00272B77" w:rsidRDefault="00272B77" w:rsidP="00272B77">
      <w:pPr>
        <w:spacing w:after="80"/>
      </w:pPr>
    </w:p>
    <w:p w14:paraId="15F6727B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lastRenderedPageBreak/>
        <w:t xml:space="preserve">8. CERINŢE DE CALIFICARE </w:t>
      </w:r>
      <w:proofErr w:type="gram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</w:t>
      </w:r>
      <w:proofErr w:type="gram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OFERTANTILOR</w:t>
      </w:r>
    </w:p>
    <w:p w14:paraId="2A929CF2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Criteriile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calificare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de tip ADMIS/RESPINS. </w:t>
      </w:r>
      <w:proofErr w:type="spellStart"/>
      <w:r>
        <w:rPr>
          <w:rFonts w:ascii="Arial" w:eastAsia="Arial" w:hAnsi="Arial" w:cs="Arial"/>
          <w:sz w:val="20"/>
          <w:szCs w:val="20"/>
        </w:rPr>
        <w:t>Neîndeplinirea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oricărui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criteriu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atrage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descalificarea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ofertantului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59BB599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2000"/>
        <w:gridCol w:w="2500"/>
        <w:gridCol w:w="2500"/>
        <w:gridCol w:w="1938"/>
      </w:tblGrid>
      <w:tr w:rsidR="00272B77" w14:paraId="52B40C95" w14:textId="77777777" w:rsidTr="002837A1"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28593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B2DD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Criteriu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calificare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9ADD4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Cerință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minimă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E5E14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Document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justificativ</w:t>
            </w:r>
            <w:proofErr w:type="spellEnd"/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C0AB9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Admis/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Respins</w:t>
            </w:r>
            <w:proofErr w:type="spellEnd"/>
          </w:p>
        </w:tc>
      </w:tr>
      <w:tr w:rsidR="00272B77" w14:paraId="29FCA32A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3A4D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Q1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8B25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E775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construcții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instalații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Republica Moldova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5263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licență</w:t>
            </w:r>
            <w:proofErr w:type="spellEnd"/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8BFA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A/R</w:t>
            </w:r>
          </w:p>
        </w:tc>
      </w:tr>
      <w:tr w:rsidR="00272B77" w14:paraId="557BF567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C38A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Q2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659E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relevantă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4AB3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Minimum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instalații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ani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602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verificabile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perioadă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BA09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A/R</w:t>
            </w:r>
          </w:p>
        </w:tc>
      </w:tr>
      <w:tr w:rsidR="00272B77" w14:paraId="5C58EEE5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24DA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Q3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8F1D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Personal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cheie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231C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Minimum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atestare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RM);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angajament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subcontractare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demonstrarea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disponibilității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calificărilor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C580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atestate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subcontractare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CV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cazul</w:t>
            </w:r>
            <w:proofErr w:type="spellEnd"/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9582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A/R</w:t>
            </w:r>
          </w:p>
        </w:tc>
      </w:tr>
      <w:tr w:rsidR="00272B77" w14:paraId="4D6B2313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1AFB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Q4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EE83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Capacitate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F6B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Cifră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afaceri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anuală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medie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cel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puțin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25.000 EUR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fiscali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9088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Bilanț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cifra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afaceri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certificată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7E28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A/R</w:t>
            </w:r>
          </w:p>
        </w:tc>
      </w:tr>
      <w:tr w:rsidR="00272B77" w14:paraId="287FAFF8" w14:textId="77777777" w:rsidTr="002837A1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D774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Q5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6B84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eligibilitate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8B74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conflict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datorii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fiscale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restante,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interdicții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B710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propria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răspundere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(formular standard)</w:t>
            </w:r>
          </w:p>
        </w:tc>
        <w:tc>
          <w:tcPr>
            <w:tcW w:w="19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B5A9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A/R</w:t>
            </w:r>
          </w:p>
        </w:tc>
      </w:tr>
    </w:tbl>
    <w:p w14:paraId="458E97C2" w14:textId="77777777" w:rsidR="00272B77" w:rsidRDefault="00272B77" w:rsidP="00272B77">
      <w:pPr>
        <w:spacing w:after="80"/>
      </w:pPr>
    </w:p>
    <w:p w14:paraId="0A60BF14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9. TERMENUL DE EXECUTIE</w:t>
      </w:r>
    </w:p>
    <w:p w14:paraId="3C8F0E53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de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90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semnării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725587F" w14:textId="77777777" w:rsidR="00272B77" w:rsidRDefault="00272B77" w:rsidP="00272B77">
      <w:pPr>
        <w:spacing w:after="80"/>
      </w:pPr>
    </w:p>
    <w:p w14:paraId="4EC0F1E1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Notă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privind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Întârzierile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SALAR International, </w:t>
      </w:r>
      <w:proofErr w:type="spellStart"/>
      <w:r>
        <w:rPr>
          <w:rFonts w:ascii="Arial" w:eastAsia="Arial" w:hAnsi="Arial" w:cs="Arial"/>
          <w:sz w:val="20"/>
          <w:szCs w:val="20"/>
        </w:rPr>
        <w:t>autorități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emitente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care </w:t>
      </w:r>
      <w:proofErr w:type="spellStart"/>
      <w:r>
        <w:rPr>
          <w:rFonts w:ascii="Arial" w:eastAsia="Arial" w:hAnsi="Arial" w:cs="Arial"/>
          <w:sz w:val="20"/>
          <w:szCs w:val="20"/>
        </w:rPr>
        <w:t>depăşesc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suspenda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livrare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corespunzător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partea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constatarea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întârzierii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B0C143C" w14:textId="77777777" w:rsidR="00272B77" w:rsidRDefault="00272B77" w:rsidP="00272B77">
      <w:pPr>
        <w:spacing w:after="80"/>
      </w:pPr>
    </w:p>
    <w:p w14:paraId="79713748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10. PROCEDURA DE ACHIZIŢIE</w:t>
      </w:r>
    </w:p>
    <w:p w14:paraId="0762BE2B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272B77" w14:paraId="51C74CF9" w14:textId="77777777" w:rsidTr="002837A1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63895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Element</w:t>
            </w:r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5987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Detalii</w:t>
            </w:r>
            <w:proofErr w:type="spellEnd"/>
          </w:p>
        </w:tc>
      </w:tr>
      <w:tr w:rsidR="00272B77" w14:paraId="06950B12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7583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Limba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ofertelor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0896D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Română</w:t>
            </w:r>
            <w:proofErr w:type="spellEnd"/>
          </w:p>
        </w:tc>
      </w:tr>
      <w:tr w:rsidR="00272B77" w14:paraId="72641F05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6574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Moneda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ofertei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013C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EUR,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TVA</w:t>
            </w:r>
          </w:p>
        </w:tc>
      </w:tr>
      <w:tr w:rsidR="00272B77" w14:paraId="47A775B3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6FF9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Valabilitatea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ofertei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76E8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60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limită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</w:t>
            </w:r>
            <w:proofErr w:type="spellEnd"/>
          </w:p>
        </w:tc>
      </w:tr>
      <w:tr w:rsidR="00272B77" w14:paraId="6EB83E74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B334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Termen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limită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A6603" w14:textId="2B3BEDFE" w:rsidR="00272B77" w:rsidRDefault="00876B1E" w:rsidP="002837A1">
            <w:r>
              <w:rPr>
                <w:rFonts w:ascii="Arial" w:eastAsia="Arial" w:hAnsi="Arial" w:cs="Arial"/>
                <w:sz w:val="18"/>
                <w:szCs w:val="18"/>
              </w:rPr>
              <w:t>29 Mai 2026</w:t>
            </w:r>
            <w:r w:rsidR="00272B77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z w:val="18"/>
                <w:szCs w:val="18"/>
              </w:rPr>
              <w:t>16:00</w:t>
            </w:r>
            <w:r w:rsidR="00272B77">
              <w:rPr>
                <w:rFonts w:ascii="Arial" w:eastAsia="Arial" w:hAnsi="Arial" w:cs="Arial"/>
                <w:sz w:val="18"/>
                <w:szCs w:val="18"/>
              </w:rPr>
              <w:t xml:space="preserve"> ora </w:t>
            </w:r>
            <w:proofErr w:type="spellStart"/>
            <w:r w:rsidR="00272B77">
              <w:rPr>
                <w:rFonts w:ascii="Arial" w:eastAsia="Arial" w:hAnsi="Arial" w:cs="Arial"/>
                <w:sz w:val="18"/>
                <w:szCs w:val="18"/>
              </w:rPr>
              <w:t>Chişinău</w:t>
            </w:r>
            <w:proofErr w:type="spellEnd"/>
          </w:p>
        </w:tc>
      </w:tr>
      <w:tr w:rsidR="00272B77" w14:paraId="3BB9A4F0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0DF4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Modalitate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27971" w14:textId="075E4978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Electronic la: </w:t>
            </w:r>
            <w:hyperlink r:id="rId11" w:history="1">
              <w:r w:rsidR="00876B1E" w:rsidRPr="00481696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moldova@salarinternational.se</w:t>
              </w:r>
            </w:hyperlink>
            <w:r w:rsidR="00876B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Telița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72B77" w14:paraId="05CFBD89" w14:textId="77777777" w:rsidTr="002837A1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9709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Termen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limită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clarificări</w:t>
            </w:r>
            <w:proofErr w:type="spellEnd"/>
          </w:p>
        </w:tc>
        <w:tc>
          <w:tcPr>
            <w:tcW w:w="6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03B4D" w14:textId="646CAEF8" w:rsidR="00272B77" w:rsidRDefault="00876B1E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 27 Mai 2026,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16:00 ora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Chişinău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72B77">
              <w:rPr>
                <w:rFonts w:ascii="Arial" w:eastAsia="Arial" w:hAnsi="Arial" w:cs="Arial"/>
                <w:sz w:val="18"/>
                <w:szCs w:val="18"/>
              </w:rPr>
              <w:t xml:space="preserve">la: </w:t>
            </w:r>
            <w:hyperlink r:id="rId12" w:history="1">
              <w:r w:rsidRPr="00481696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moldova@salarinternational.se</w:t>
              </w:r>
            </w:hyperlink>
          </w:p>
        </w:tc>
      </w:tr>
    </w:tbl>
    <w:p w14:paraId="64622DB7" w14:textId="77777777" w:rsidR="00272B77" w:rsidRDefault="00272B77" w:rsidP="00272B77">
      <w:pPr>
        <w:spacing w:after="80"/>
      </w:pPr>
    </w:p>
    <w:p w14:paraId="2580A624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11. CRITERII DE EVALUARE</w:t>
      </w:r>
    </w:p>
    <w:p w14:paraId="537272B1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realizează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două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etape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(1) </w:t>
      </w:r>
      <w:proofErr w:type="spellStart"/>
      <w:r>
        <w:rPr>
          <w:rFonts w:ascii="Arial" w:eastAsia="Arial" w:hAnsi="Arial" w:cs="Arial"/>
          <w:sz w:val="20"/>
          <w:szCs w:val="20"/>
        </w:rPr>
        <w:t>verificarea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calificării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(Admis/</w:t>
      </w:r>
      <w:proofErr w:type="spellStart"/>
      <w:r>
        <w:rPr>
          <w:rFonts w:ascii="Arial" w:eastAsia="Arial" w:hAnsi="Arial" w:cs="Arial"/>
          <w:sz w:val="20"/>
          <w:szCs w:val="20"/>
        </w:rPr>
        <w:t>Respins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); (2) </w:t>
      </w: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tehnico-financiară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admise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8A6D24E" w14:textId="77777777" w:rsidR="00272B77" w:rsidRDefault="00272B77" w:rsidP="00272B77">
      <w:pPr>
        <w:spacing w:after="80"/>
      </w:pPr>
    </w:p>
    <w:p w14:paraId="62DEEAA7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Structura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punctajului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70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+ 30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= 100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total.</w:t>
      </w:r>
    </w:p>
    <w:p w14:paraId="1CDCED39" w14:textId="77777777" w:rsidR="00272B77" w:rsidRDefault="00272B77" w:rsidP="00272B7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Prag minim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35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70.</w:t>
      </w:r>
    </w:p>
    <w:p w14:paraId="62857467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138"/>
        <w:gridCol w:w="2000"/>
      </w:tblGrid>
      <w:tr w:rsidR="00272B77" w14:paraId="33AC7EFA" w14:textId="77777777" w:rsidTr="002837A1"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F854F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Criteriu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A0523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Subcriterii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detalii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3D69A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Punctaj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maxim</w:t>
            </w:r>
          </w:p>
        </w:tc>
      </w:tr>
      <w:tr w:rsidR="00272B77" w14:paraId="03563603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01D0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A1.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6781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20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plan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survey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soluției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10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adecvată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lacune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minore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5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generală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lipsă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irelevantă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9455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272B77" w14:paraId="0DDADDB8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2B9E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A2.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relevantă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392B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20 pct: Minimum 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ani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instalații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). 15 pct: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8 pct: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(minim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eligibilitate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). 0 pct: Sub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descalificare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0334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272B77" w14:paraId="2321F897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8898D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A3.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Compoziția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echipei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1B86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15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(RM) plus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subcontractat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demonstrarea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disponibilității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calificărilor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), plus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verificator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inspector. 10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plus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subcontractat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disponibilitate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calificări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demonstrate),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verificator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separat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5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principal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componenta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insuficient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Echipă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incompletă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nedocumentată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CC4AD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272B77" w14:paraId="6F573A0D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A873A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A4. Capacitate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specifică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2BC1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10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coordonarea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epurare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receptoare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incluzând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Bulboaca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referire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aspecte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programare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logistică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transport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măsuri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contingență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6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generică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coordonarea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stațiile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epurare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3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generală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specificitate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relevantă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7DB5D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10</w:t>
            </w:r>
          </w:p>
        </w:tc>
      </w:tr>
      <w:tr w:rsidR="00272B77" w14:paraId="5B81ACF0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AF89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A5.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propus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E7F4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15 pct: Termen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maximum 75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jaloane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realiste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10 pct: 76-85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5 pct: 86-90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0 pct: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absent.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4E3B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272B77" w14:paraId="711D4AB0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466E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TOTAL TEHNIC</w:t>
            </w:r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B8A99" w14:textId="77777777" w:rsidR="00272B77" w:rsidRDefault="00272B77" w:rsidP="002837A1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0E6A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</w:tr>
      <w:tr w:rsidR="00272B77" w14:paraId="31BFB29A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740B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B1.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A933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Formula: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P_fin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Prețul_minim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Prețul_ofertei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x 30,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Prețul_minim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mic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eligibil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E333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272B77" w14:paraId="1FC98F8F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38DD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TOTAL GENERAL</w:t>
            </w:r>
          </w:p>
        </w:tc>
        <w:tc>
          <w:tcPr>
            <w:tcW w:w="5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47CE5" w14:textId="77777777" w:rsidR="00272B77" w:rsidRDefault="00272B77" w:rsidP="002837A1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81B3C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</w:tr>
    </w:tbl>
    <w:p w14:paraId="129534B9" w14:textId="77777777" w:rsidR="00272B77" w:rsidRDefault="00272B77" w:rsidP="00272B77">
      <w:pPr>
        <w:spacing w:after="80"/>
      </w:pPr>
    </w:p>
    <w:p w14:paraId="01145389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12. CONDIŢII CONTRACTUALE</w:t>
      </w:r>
    </w:p>
    <w:p w14:paraId="03D55656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12.1.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Proprietatea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asupra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documentației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tehnice</w:t>
      </w:r>
      <w:proofErr w:type="spellEnd"/>
    </w:p>
    <w:p w14:paraId="2A5DD120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are ca </w:t>
      </w:r>
      <w:proofErr w:type="spellStart"/>
      <w:r>
        <w:rPr>
          <w:rFonts w:ascii="Arial" w:eastAsia="Arial" w:hAnsi="Arial" w:cs="Arial"/>
          <w:sz w:val="20"/>
          <w:szCs w:val="20"/>
        </w:rPr>
        <w:t>obiect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proiectare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Toată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- </w:t>
      </w:r>
      <w:proofErr w:type="spellStart"/>
      <w:r>
        <w:rPr>
          <w:rFonts w:ascii="Arial" w:eastAsia="Arial" w:hAnsi="Arial" w:cs="Arial"/>
          <w:sz w:val="20"/>
          <w:szCs w:val="20"/>
        </w:rPr>
        <w:t>incluzând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studiul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hidrogeologic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proiectele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devizele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memoriile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planurile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specificațiile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registrul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riscuri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celelalte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Caiet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Primăria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la data </w:t>
      </w:r>
      <w:proofErr w:type="spellStart"/>
      <w:r>
        <w:rPr>
          <w:rFonts w:ascii="Arial" w:eastAsia="Arial" w:hAnsi="Arial" w:cs="Arial"/>
          <w:sz w:val="20"/>
          <w:szCs w:val="20"/>
        </w:rPr>
        <w:t>acceptării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plății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International). </w:t>
      </w:r>
      <w:proofErr w:type="spellStart"/>
      <w:r>
        <w:rPr>
          <w:rFonts w:ascii="Arial" w:eastAsia="Arial" w:hAnsi="Arial" w:cs="Arial"/>
          <w:sz w:val="20"/>
          <w:szCs w:val="20"/>
        </w:rPr>
        <w:t>Investitorul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Clientul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(Sida) </w:t>
      </w:r>
      <w:proofErr w:type="spellStart"/>
      <w:r>
        <w:rPr>
          <w:rFonts w:ascii="Arial" w:eastAsia="Arial" w:hAnsi="Arial" w:cs="Arial"/>
          <w:sz w:val="20"/>
          <w:szCs w:val="20"/>
        </w:rPr>
        <w:t>păstrează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utilizare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reproducere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audit al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scopuri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implementare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audit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raportare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aferente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afecta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proprietate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C2C7A38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12.2.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Durata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contractului</w:t>
      </w:r>
      <w:proofErr w:type="spellEnd"/>
    </w:p>
    <w:p w14:paraId="01599CBD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Durata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concordanță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prevăzut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9 (90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semnare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65DEA732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>12.3. Plata</w:t>
      </w:r>
    </w:p>
    <w:p w14:paraId="29C10D45" w14:textId="77777777" w:rsidR="00272B77" w:rsidRDefault="00272B77" w:rsidP="00272B7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Plata se </w:t>
      </w:r>
      <w:proofErr w:type="spellStart"/>
      <w:r>
        <w:rPr>
          <w:rFonts w:ascii="Arial" w:eastAsia="Arial" w:hAnsi="Arial" w:cs="Arial"/>
          <w:sz w:val="20"/>
          <w:szCs w:val="20"/>
        </w:rPr>
        <w:t>efectuează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-o </w:t>
      </w:r>
      <w:proofErr w:type="spellStart"/>
      <w:r>
        <w:rPr>
          <w:rFonts w:ascii="Arial" w:eastAsia="Arial" w:hAnsi="Arial" w:cs="Arial"/>
          <w:sz w:val="20"/>
          <w:szCs w:val="20"/>
        </w:rPr>
        <w:t>singură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tranşă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20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dosarului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motivate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prevăzut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7.</w:t>
      </w:r>
    </w:p>
    <w:p w14:paraId="6E26E8C7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12.4.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Obligația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revizuire</w:t>
      </w:r>
      <w:proofErr w:type="spellEnd"/>
    </w:p>
    <w:p w14:paraId="65BD1CE4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efectueze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revizuiri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ale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motivate ale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limita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2 </w:t>
      </w:r>
      <w:proofErr w:type="spellStart"/>
      <w:r>
        <w:rPr>
          <w:rFonts w:ascii="Arial" w:eastAsia="Arial" w:hAnsi="Arial" w:cs="Arial"/>
          <w:sz w:val="20"/>
          <w:szCs w:val="20"/>
        </w:rPr>
        <w:t>runde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versiunea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revizuită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30A47BF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12.5.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Penalizări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întârziere</w:t>
      </w:r>
      <w:proofErr w:type="spellEnd"/>
    </w:p>
    <w:p w14:paraId="5C6F39F6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nerespectării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7,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datorează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0,1% pe zi de </w:t>
      </w:r>
      <w:proofErr w:type="spellStart"/>
      <w:r>
        <w:rPr>
          <w:rFonts w:ascii="Arial" w:eastAsia="Arial" w:hAnsi="Arial" w:cs="Arial"/>
          <w:sz w:val="20"/>
          <w:szCs w:val="20"/>
        </w:rPr>
        <w:t>întârziere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un </w:t>
      </w:r>
      <w:proofErr w:type="spellStart"/>
      <w:r>
        <w:rPr>
          <w:rFonts w:ascii="Arial" w:eastAsia="Arial" w:hAnsi="Arial" w:cs="Arial"/>
          <w:sz w:val="20"/>
          <w:szCs w:val="20"/>
        </w:rPr>
        <w:t>plafon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de 10%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totală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Întârzierile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SALAR International, </w:t>
      </w:r>
      <w:proofErr w:type="spellStart"/>
      <w:r>
        <w:rPr>
          <w:rFonts w:ascii="Arial" w:eastAsia="Arial" w:hAnsi="Arial" w:cs="Arial"/>
          <w:sz w:val="20"/>
          <w:szCs w:val="20"/>
        </w:rPr>
        <w:t>autorități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avizare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eastAsia="Arial" w:hAnsi="Arial" w:cs="Arial"/>
          <w:sz w:val="20"/>
          <w:szCs w:val="20"/>
        </w:rPr>
        <w:t>atrag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20F6876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12.6.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Forța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majoră</w:t>
      </w:r>
      <w:proofErr w:type="spellEnd"/>
    </w:p>
    <w:p w14:paraId="14274565" w14:textId="77777777" w:rsidR="00272B77" w:rsidRDefault="00272B77" w:rsidP="00272B7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Orice </w:t>
      </w:r>
      <w:proofErr w:type="spellStart"/>
      <w:r>
        <w:rPr>
          <w:rFonts w:ascii="Arial" w:eastAsia="Arial" w:hAnsi="Arial" w:cs="Arial"/>
          <w:sz w:val="20"/>
          <w:szCs w:val="20"/>
        </w:rPr>
        <w:t>eveniment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forță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majoră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notificat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producere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Forța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majoră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eastAsia="Arial" w:hAnsi="Arial" w:cs="Arial"/>
          <w:sz w:val="20"/>
          <w:szCs w:val="20"/>
        </w:rPr>
        <w:t>persistă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mult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30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temei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reziliere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Clauzei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12.7.</w:t>
      </w:r>
    </w:p>
    <w:p w14:paraId="419DF4F4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lastRenderedPageBreak/>
        <w:t xml:space="preserve">12.7.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Rezilierea</w:t>
      </w:r>
      <w:proofErr w:type="spellEnd"/>
    </w:p>
    <w:p w14:paraId="63CB167F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reziliat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situații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(a) </w:t>
      </w:r>
      <w:proofErr w:type="spellStart"/>
      <w:r>
        <w:rPr>
          <w:rFonts w:ascii="Arial" w:eastAsia="Arial" w:hAnsi="Arial" w:cs="Arial"/>
          <w:sz w:val="20"/>
          <w:szCs w:val="20"/>
        </w:rPr>
        <w:t>neconformitate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materială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Prestatorului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neremidiată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notificarea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(b)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cumulate care </w:t>
      </w:r>
      <w:proofErr w:type="spellStart"/>
      <w:r>
        <w:rPr>
          <w:rFonts w:ascii="Arial" w:eastAsia="Arial" w:hAnsi="Arial" w:cs="Arial"/>
          <w:sz w:val="20"/>
          <w:szCs w:val="20"/>
        </w:rPr>
        <w:t>ating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plafonul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prevăzut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Clauza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12.5; (c) </w:t>
      </w:r>
      <w:proofErr w:type="spellStart"/>
      <w:r>
        <w:rPr>
          <w:rFonts w:ascii="Arial" w:eastAsia="Arial" w:hAnsi="Arial" w:cs="Arial"/>
          <w:sz w:val="20"/>
          <w:szCs w:val="20"/>
        </w:rPr>
        <w:t>forță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majoră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eastAsia="Arial" w:hAnsi="Arial" w:cs="Arial"/>
          <w:sz w:val="20"/>
          <w:szCs w:val="20"/>
        </w:rPr>
        <w:t>persistă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mult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30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(d) </w:t>
      </w:r>
      <w:proofErr w:type="spellStart"/>
      <w:r>
        <w:rPr>
          <w:rFonts w:ascii="Arial" w:eastAsia="Arial" w:hAnsi="Arial" w:cs="Arial"/>
          <w:sz w:val="20"/>
          <w:szCs w:val="20"/>
        </w:rPr>
        <w:t>acord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eastAsia="Arial" w:hAnsi="Arial" w:cs="Arial"/>
          <w:sz w:val="20"/>
          <w:szCs w:val="20"/>
        </w:rPr>
        <w:t>tuturor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Este </w:t>
      </w:r>
      <w:proofErr w:type="spellStart"/>
      <w:r>
        <w:rPr>
          <w:rFonts w:ascii="Arial" w:eastAsia="Arial" w:hAnsi="Arial" w:cs="Arial"/>
          <w:sz w:val="20"/>
          <w:szCs w:val="20"/>
        </w:rPr>
        <w:t>necesar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preaviz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minimum 15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îndreptățit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formal </w:t>
      </w:r>
      <w:proofErr w:type="spellStart"/>
      <w:r>
        <w:rPr>
          <w:rFonts w:ascii="Arial" w:eastAsia="Arial" w:hAnsi="Arial" w:cs="Arial"/>
          <w:sz w:val="20"/>
          <w:szCs w:val="20"/>
        </w:rPr>
        <w:t>înainte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data </w:t>
      </w:r>
      <w:proofErr w:type="spellStart"/>
      <w:r>
        <w:rPr>
          <w:rFonts w:ascii="Arial" w:eastAsia="Arial" w:hAnsi="Arial" w:cs="Arial"/>
          <w:sz w:val="20"/>
          <w:szCs w:val="20"/>
        </w:rPr>
        <w:t>rezilierii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12AE886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12.8.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Proprietatea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intelectuală</w:t>
      </w:r>
      <w:proofErr w:type="spellEnd"/>
    </w:p>
    <w:p w14:paraId="6626FCBF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Drepturile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patrimoniale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autor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asupra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tuturor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transferate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integral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(APL </w:t>
      </w:r>
      <w:proofErr w:type="spellStart"/>
      <w:r>
        <w:rPr>
          <w:rFonts w:ascii="Arial" w:eastAsia="Arial" w:hAnsi="Arial" w:cs="Arial"/>
          <w:sz w:val="20"/>
          <w:szCs w:val="20"/>
        </w:rPr>
        <w:t>Telița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la </w:t>
      </w:r>
      <w:proofErr w:type="spellStart"/>
      <w:r>
        <w:rPr>
          <w:rFonts w:ascii="Arial" w:eastAsia="Arial" w:hAnsi="Arial" w:cs="Arial"/>
          <w:sz w:val="20"/>
          <w:szCs w:val="20"/>
        </w:rPr>
        <w:t>finalizarea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şi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păstrează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moral la </w:t>
      </w:r>
      <w:proofErr w:type="spellStart"/>
      <w:r>
        <w:rPr>
          <w:rFonts w:ascii="Arial" w:eastAsia="Arial" w:hAnsi="Arial" w:cs="Arial"/>
          <w:sz w:val="20"/>
          <w:szCs w:val="20"/>
        </w:rPr>
        <w:t>paternitatea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lucrării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0BB21B4" w14:textId="77777777" w:rsidR="00272B77" w:rsidRDefault="00272B77" w:rsidP="00272B77">
      <w:pPr>
        <w:pStyle w:val="Heading2"/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12.9.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Legea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aplicabilă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şi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soluționarea</w:t>
      </w:r>
      <w:proofErr w:type="spellEnd"/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2"/>
          <w:szCs w:val="22"/>
        </w:rPr>
        <w:t>litigiilor</w:t>
      </w:r>
      <w:proofErr w:type="spellEnd"/>
    </w:p>
    <w:p w14:paraId="2608AE10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guvernat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principiile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generale ale </w:t>
      </w:r>
      <w:proofErr w:type="spellStart"/>
      <w:r>
        <w:rPr>
          <w:rFonts w:ascii="Arial" w:eastAsia="Arial" w:hAnsi="Arial" w:cs="Arial"/>
          <w:sz w:val="20"/>
          <w:szCs w:val="20"/>
        </w:rPr>
        <w:t>contractării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Litigiile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care nu pot fi </w:t>
      </w:r>
      <w:proofErr w:type="spellStart"/>
      <w:r>
        <w:rPr>
          <w:rFonts w:ascii="Arial" w:eastAsia="Arial" w:hAnsi="Arial" w:cs="Arial"/>
          <w:sz w:val="20"/>
          <w:szCs w:val="20"/>
        </w:rPr>
        <w:t>soluționate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amiabil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supuse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jurisdicției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instanțelor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cerință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donatorului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ASDI/Sida).</w:t>
      </w:r>
    </w:p>
    <w:p w14:paraId="360A7415" w14:textId="77777777" w:rsidR="00272B77" w:rsidRDefault="00272B77" w:rsidP="00272B77">
      <w:pPr>
        <w:spacing w:after="80"/>
      </w:pPr>
    </w:p>
    <w:p w14:paraId="4A14078F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13. DOCUMENTE DE DEPUS DE CĂTRE OFERTANTI</w:t>
      </w:r>
    </w:p>
    <w:p w14:paraId="7D72C479" w14:textId="77777777" w:rsidR="00272B77" w:rsidRDefault="00272B77" w:rsidP="00272B7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4800"/>
        <w:gridCol w:w="2338"/>
      </w:tblGrid>
      <w:tr w:rsidR="00272B77" w14:paraId="68676606" w14:textId="77777777" w:rsidTr="002837A1"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859C2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Plic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Categorie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82E70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A32B0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Obligatoriu</w:t>
            </w:r>
            <w:proofErr w:type="spellEnd"/>
          </w:p>
        </w:tc>
      </w:tr>
      <w:tr w:rsidR="00272B77" w14:paraId="411B123C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1D715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administrative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537D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Extras din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Stat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persoanelor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juridice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vechi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0C9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77525A82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74F6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A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administrative</w:t>
            </w:r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EFB50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eligibilitate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conflict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datorii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fiscale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interdicții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C096C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081B5877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72B1C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B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calificare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D8AA4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construcții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instalații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C9BA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2885E8D1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D931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B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calificare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FB1BE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Lista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contractelor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similare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(minimum 2), cu: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perioadă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persoană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contact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2933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70941569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152D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B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calificare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510A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CV-urile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atestate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principal; CV specialist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subcontractare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cazul</w:t>
            </w:r>
            <w:proofErr w:type="spellEnd"/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C8FC3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64297F1C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65AB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B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calificare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3558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Bilanț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cifra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afaceri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fiscali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certificată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contabil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512A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7005EB4D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E4B5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CE6E1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executare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(max. 15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pagini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207E7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3D37B47A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0E6A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C797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Gantt 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activităților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jaloane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livrabile</w:t>
            </w:r>
            <w:proofErr w:type="spellEnd"/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DA9CC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1917F9DE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37D18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C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2D438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Compoziția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echipei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roluri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responsabilități</w:t>
            </w:r>
            <w:proofErr w:type="spellEnd"/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41B4B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272B77" w14:paraId="6E081A12" w14:textId="77777777" w:rsidTr="002837A1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98986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D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DA54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Formularul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financiare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completat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Anexa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ştampilat</w:t>
            </w:r>
            <w:proofErr w:type="spellEnd"/>
          </w:p>
        </w:tc>
        <w:tc>
          <w:tcPr>
            <w:tcW w:w="23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A9F90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</w:tbl>
    <w:p w14:paraId="47DD1EAC" w14:textId="77777777" w:rsidR="00272B77" w:rsidRDefault="00272B77" w:rsidP="00272B77">
      <w:pPr>
        <w:spacing w:after="80"/>
      </w:pPr>
    </w:p>
    <w:p w14:paraId="08EE8953" w14:textId="77777777" w:rsidR="00272B77" w:rsidRDefault="00272B77" w:rsidP="00272B77">
      <w:r>
        <w:br w:type="page"/>
      </w:r>
    </w:p>
    <w:p w14:paraId="4216EAA7" w14:textId="77777777" w:rsidR="00272B77" w:rsidRDefault="00272B77" w:rsidP="00272B77">
      <w:pPr>
        <w:pStyle w:val="Heading1"/>
        <w:pBdr>
          <w:bottom w:val="single" w:sz="6" w:space="4" w:color="1F4E79"/>
        </w:pBdr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lastRenderedPageBreak/>
        <w:t>ANEXA 1 - FORMULARUL OFERTEI FINANCIARE</w:t>
      </w:r>
    </w:p>
    <w:p w14:paraId="0434D6AC" w14:textId="77777777" w:rsidR="00272B77" w:rsidRDefault="00272B77" w:rsidP="00272B77">
      <w:pPr>
        <w:spacing w:after="80"/>
      </w:pPr>
    </w:p>
    <w:p w14:paraId="7A1C3B54" w14:textId="77777777" w:rsidR="00272B77" w:rsidRDefault="00272B77" w:rsidP="00272B77">
      <w:pPr>
        <w:spacing w:before="60" w:after="60"/>
      </w:pPr>
      <w:proofErr w:type="spellStart"/>
      <w:r>
        <w:rPr>
          <w:rFonts w:ascii="Arial" w:eastAsia="Arial" w:hAnsi="Arial" w:cs="Arial"/>
          <w:sz w:val="20"/>
          <w:szCs w:val="20"/>
        </w:rPr>
        <w:t>Ofertant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______________________________</w:t>
      </w:r>
    </w:p>
    <w:p w14:paraId="281D0439" w14:textId="77777777" w:rsidR="00272B77" w:rsidRDefault="00272B77" w:rsidP="00272B77">
      <w:pPr>
        <w:spacing w:before="60" w:after="120"/>
      </w:pPr>
      <w:r>
        <w:rPr>
          <w:rFonts w:ascii="Arial" w:eastAsia="Arial" w:hAnsi="Arial" w:cs="Arial"/>
          <w:sz w:val="20"/>
          <w:szCs w:val="20"/>
        </w:rPr>
        <w:t>Data: __________________________________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871"/>
        <w:gridCol w:w="998"/>
        <w:gridCol w:w="690"/>
        <w:gridCol w:w="2173"/>
        <w:gridCol w:w="2210"/>
      </w:tblGrid>
      <w:tr w:rsidR="00272B77" w14:paraId="0047A335" w14:textId="77777777" w:rsidTr="00876B1E">
        <w:trPr>
          <w:tblHeader/>
        </w:trPr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7B82C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17C67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Componentă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Livrabil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E3E2E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Unitate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43E7B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DDCD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Preț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(EUR,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DC3A6" w14:textId="77777777" w:rsidR="00272B77" w:rsidRDefault="00272B77" w:rsidP="002837A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Total (EUR,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TVA)</w:t>
            </w:r>
          </w:p>
        </w:tc>
      </w:tr>
      <w:tr w:rsidR="00272B77" w14:paraId="177CD1C2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CCAF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28394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hidrogeologic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E8894" w14:textId="596BC3E8" w:rsidR="00272B77" w:rsidRDefault="00876B1E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272B77">
              <w:rPr>
                <w:rFonts w:ascii="Arial" w:eastAsia="Arial" w:hAnsi="Arial" w:cs="Arial"/>
                <w:sz w:val="18"/>
                <w:szCs w:val="18"/>
              </w:rPr>
              <w:t>orf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272B77">
              <w:rPr>
                <w:rFonts w:ascii="Arial" w:eastAsia="Arial" w:hAnsi="Arial" w:cs="Arial"/>
                <w:sz w:val="18"/>
                <w:szCs w:val="18"/>
              </w:rPr>
              <w:t>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A5801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EE7B9" w14:textId="77777777" w:rsidR="00272B77" w:rsidRDefault="00272B77" w:rsidP="002837A1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5104" w14:textId="77777777" w:rsidR="00272B77" w:rsidRDefault="00272B77" w:rsidP="002837A1"/>
        </w:tc>
      </w:tr>
      <w:tr w:rsidR="00876B1E" w14:paraId="1704AD8E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7C802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0C7F9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(PT)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descentralizat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sanitație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septice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46DBB" w14:textId="4B24E0EA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26358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9FA96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F419A" w14:textId="77777777" w:rsidR="00876B1E" w:rsidRDefault="00876B1E" w:rsidP="00876B1E"/>
        </w:tc>
      </w:tr>
      <w:tr w:rsidR="00876B1E" w14:paraId="4121C35E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2D6C3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5B6D5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detaliate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3C181" w14:textId="7445DA3D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32736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4290C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77073" w14:textId="77777777" w:rsidR="00876B1E" w:rsidRDefault="00876B1E" w:rsidP="00876B1E"/>
        </w:tc>
      </w:tr>
      <w:tr w:rsidR="00876B1E" w14:paraId="2D4EBDFB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0D3F3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FF336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 xml:space="preserve">Caiet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lucrări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montaj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2219A" w14:textId="3D6D895C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FF99F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83016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9A86A" w14:textId="77777777" w:rsidR="00876B1E" w:rsidRDefault="00876B1E" w:rsidP="00876B1E"/>
        </w:tc>
      </w:tr>
      <w:tr w:rsidR="00876B1E" w14:paraId="6149553E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B06FF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8430C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Memoriu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0F81B" w14:textId="3A072DE6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AE7FF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2E05A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5B7CF" w14:textId="77777777" w:rsidR="00876B1E" w:rsidRDefault="00876B1E" w:rsidP="00876B1E"/>
        </w:tc>
      </w:tr>
      <w:tr w:rsidR="00876B1E" w14:paraId="52D26B39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80B95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127B9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accesului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vehicul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propunere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frecvență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DC0D1" w14:textId="6DFD2F94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AFF40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EEE3F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6E956" w14:textId="77777777" w:rsidR="00876B1E" w:rsidRDefault="00876B1E" w:rsidP="00876B1E"/>
        </w:tc>
      </w:tr>
      <w:tr w:rsidR="00876B1E" w14:paraId="450FF41E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84185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68706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Specificații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autovehicul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vidanjare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funcționale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6C6D3" w14:textId="07C56030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657BB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07AEB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88F59" w14:textId="77777777" w:rsidR="00876B1E" w:rsidRDefault="00876B1E" w:rsidP="00876B1E"/>
        </w:tc>
      </w:tr>
      <w:tr w:rsidR="00876B1E" w14:paraId="7EA9704E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4F1E0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FE316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riscuri</w:t>
            </w:r>
            <w:proofErr w:type="spellEnd"/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78C1F" w14:textId="5681BD88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765E4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CB37F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ED68A" w14:textId="77777777" w:rsidR="00876B1E" w:rsidRDefault="00876B1E" w:rsidP="00876B1E"/>
        </w:tc>
      </w:tr>
      <w:tr w:rsidR="00876B1E" w14:paraId="49E9AA4B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64A0F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406AE" w14:textId="77777777" w:rsidR="00876B1E" w:rsidRDefault="00876B1E" w:rsidP="00876B1E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Documentație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(EIM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simplificată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dosare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103E6" w14:textId="203C496D" w:rsidR="00876B1E" w:rsidRDefault="00876B1E" w:rsidP="00876B1E">
            <w:proofErr w:type="spellStart"/>
            <w:r w:rsidRPr="00BB4A90">
              <w:rPr>
                <w:rFonts w:ascii="Arial" w:eastAsia="Arial" w:hAnsi="Arial" w:cs="Arial"/>
                <w:sz w:val="18"/>
                <w:szCs w:val="18"/>
              </w:rPr>
              <w:t>Forfetar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F5B5B" w14:textId="77777777" w:rsidR="00876B1E" w:rsidRDefault="00876B1E" w:rsidP="00876B1E"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092DF" w14:textId="77777777" w:rsidR="00876B1E" w:rsidRDefault="00876B1E" w:rsidP="00876B1E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F1C34" w14:textId="77777777" w:rsidR="00876B1E" w:rsidRDefault="00876B1E" w:rsidP="00876B1E"/>
        </w:tc>
      </w:tr>
      <w:tr w:rsidR="00272B77" w14:paraId="779E7C31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6C9F4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E4CC9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revizuire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4AF3C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</w:t>
            </w:r>
            <w:proofErr w:type="spellEnd"/>
          </w:p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36012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9731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24B46" w14:textId="77777777" w:rsidR="00272B77" w:rsidRDefault="00272B77" w:rsidP="002837A1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</w:t>
            </w:r>
            <w:proofErr w:type="spellEnd"/>
          </w:p>
        </w:tc>
      </w:tr>
      <w:tr w:rsidR="00272B77" w14:paraId="514F40A3" w14:textId="77777777" w:rsidTr="00876B1E">
        <w:tc>
          <w:tcPr>
            <w:tcW w:w="6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F53BF" w14:textId="77777777" w:rsidR="00272B77" w:rsidRDefault="00272B77" w:rsidP="002837A1"/>
        </w:tc>
        <w:tc>
          <w:tcPr>
            <w:tcW w:w="28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C883F" w14:textId="77777777" w:rsidR="00272B77" w:rsidRDefault="00272B77" w:rsidP="002837A1">
            <w:r>
              <w:rPr>
                <w:rFonts w:ascii="Arial" w:eastAsia="Arial" w:hAnsi="Arial" w:cs="Arial"/>
                <w:sz w:val="18"/>
                <w:szCs w:val="18"/>
              </w:rPr>
              <w:t>TOTAL GENERAL</w:t>
            </w:r>
          </w:p>
        </w:tc>
        <w:tc>
          <w:tcPr>
            <w:tcW w:w="9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3CC21" w14:textId="77777777" w:rsidR="00272B77" w:rsidRDefault="00272B77" w:rsidP="002837A1"/>
        </w:tc>
        <w:tc>
          <w:tcPr>
            <w:tcW w:w="6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ACF66" w14:textId="77777777" w:rsidR="00272B77" w:rsidRDefault="00272B77" w:rsidP="002837A1"/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36BD9" w14:textId="77777777" w:rsidR="00272B77" w:rsidRDefault="00272B77" w:rsidP="002837A1"/>
        </w:tc>
        <w:tc>
          <w:tcPr>
            <w:tcW w:w="22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D3DF8" w14:textId="77777777" w:rsidR="00272B77" w:rsidRDefault="00272B77" w:rsidP="002837A1"/>
        </w:tc>
      </w:tr>
    </w:tbl>
    <w:p w14:paraId="686F9CA2" w14:textId="77777777" w:rsidR="00272B77" w:rsidRDefault="00272B77" w:rsidP="00272B77">
      <w:pPr>
        <w:spacing w:after="80"/>
      </w:pPr>
    </w:p>
    <w:p w14:paraId="1CD8D084" w14:textId="77777777" w:rsidR="00272B77" w:rsidRDefault="00272B77" w:rsidP="00272B7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Valabilitate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Prezenta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depunere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4C40D61" w14:textId="77777777" w:rsidR="00272B77" w:rsidRDefault="00272B77" w:rsidP="00272B77">
      <w:pPr>
        <w:spacing w:after="80"/>
      </w:pPr>
    </w:p>
    <w:p w14:paraId="30420946" w14:textId="77777777" w:rsidR="00272B77" w:rsidRDefault="00272B77" w:rsidP="00272B77">
      <w:pPr>
        <w:spacing w:before="60" w:after="60"/>
      </w:pPr>
      <w:proofErr w:type="spellStart"/>
      <w:r>
        <w:rPr>
          <w:rFonts w:ascii="Arial" w:eastAsia="Arial" w:hAnsi="Arial" w:cs="Arial"/>
          <w:sz w:val="20"/>
          <w:szCs w:val="20"/>
        </w:rPr>
        <w:t>Semnătura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reprezentantului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autorizat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</w:t>
      </w:r>
    </w:p>
    <w:p w14:paraId="706A7D65" w14:textId="77777777" w:rsidR="00272B77" w:rsidRDefault="00272B77" w:rsidP="00272B77">
      <w:pPr>
        <w:spacing w:before="60" w:after="60"/>
      </w:pPr>
      <w:proofErr w:type="spellStart"/>
      <w:r>
        <w:rPr>
          <w:rFonts w:ascii="Arial" w:eastAsia="Arial" w:hAnsi="Arial" w:cs="Arial"/>
          <w:sz w:val="20"/>
          <w:szCs w:val="20"/>
        </w:rPr>
        <w:t>Funcția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______________________________</w:t>
      </w:r>
    </w:p>
    <w:p w14:paraId="40598A05" w14:textId="77777777" w:rsidR="00272B77" w:rsidRDefault="00272B77" w:rsidP="00272B77">
      <w:pPr>
        <w:spacing w:before="60" w:after="60"/>
      </w:pPr>
      <w:proofErr w:type="spellStart"/>
      <w:r>
        <w:rPr>
          <w:rFonts w:ascii="Arial" w:eastAsia="Arial" w:hAnsi="Arial" w:cs="Arial"/>
          <w:sz w:val="20"/>
          <w:szCs w:val="20"/>
        </w:rPr>
        <w:t>Ştampila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____________________________</w:t>
      </w:r>
    </w:p>
    <w:p w14:paraId="4610C53F" w14:textId="77777777" w:rsidR="00272B77" w:rsidRDefault="00272B77" w:rsidP="00272B77">
      <w:pPr>
        <w:spacing w:after="80"/>
      </w:pPr>
    </w:p>
    <w:p w14:paraId="0C6BDD27" w14:textId="77777777" w:rsidR="00272B77" w:rsidRDefault="00272B77" w:rsidP="00272B77"/>
    <w:p w14:paraId="177B6757" w14:textId="06F67A41" w:rsidR="0046403E" w:rsidRPr="00272B77" w:rsidRDefault="0046403E" w:rsidP="00272B77">
      <w:pPr>
        <w:rPr>
          <w:rFonts w:eastAsia="Calibri"/>
        </w:rPr>
      </w:pPr>
    </w:p>
    <w:sectPr w:rsidR="0046403E" w:rsidRPr="00272B77" w:rsidSect="00C608E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87C1" w14:textId="77777777" w:rsidR="00A607B0" w:rsidRDefault="00A607B0">
      <w:r>
        <w:separator/>
      </w:r>
    </w:p>
  </w:endnote>
  <w:endnote w:type="continuationSeparator" w:id="0">
    <w:p w14:paraId="472CF6A4" w14:textId="77777777" w:rsidR="00A607B0" w:rsidRDefault="00A6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768"/>
      <w:docPartObj>
        <w:docPartGallery w:val="Page Numbers (Bottom of Page)"/>
        <w:docPartUnique/>
      </w:docPartObj>
    </w:sdtPr>
    <w:sdtContent>
      <w:p w14:paraId="3C4EF6B9" w14:textId="77777777" w:rsidR="00063CA1" w:rsidRDefault="00063C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C5BF1A5" w14:textId="77777777" w:rsidR="00063CA1" w:rsidRDefault="00063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6B5EC8" w14:paraId="579946A5" w14:textId="77777777" w:rsidTr="2B6B5EC8">
      <w:trPr>
        <w:trHeight w:val="300"/>
      </w:trPr>
      <w:tc>
        <w:tcPr>
          <w:tcW w:w="3020" w:type="dxa"/>
        </w:tcPr>
        <w:p w14:paraId="5A7B231D" w14:textId="7A4BE277" w:rsidR="2B6B5EC8" w:rsidRDefault="2B6B5EC8" w:rsidP="2B6B5EC8">
          <w:pPr>
            <w:pStyle w:val="Header"/>
            <w:ind w:left="-115"/>
          </w:pPr>
        </w:p>
      </w:tc>
      <w:tc>
        <w:tcPr>
          <w:tcW w:w="3020" w:type="dxa"/>
        </w:tcPr>
        <w:p w14:paraId="448B7250" w14:textId="356AB292" w:rsidR="2B6B5EC8" w:rsidRDefault="2B6B5EC8" w:rsidP="2B6B5EC8">
          <w:pPr>
            <w:pStyle w:val="Header"/>
            <w:jc w:val="center"/>
          </w:pPr>
        </w:p>
      </w:tc>
      <w:tc>
        <w:tcPr>
          <w:tcW w:w="3020" w:type="dxa"/>
        </w:tcPr>
        <w:p w14:paraId="5B0FD4D0" w14:textId="3E0C5223" w:rsidR="2B6B5EC8" w:rsidRDefault="2B6B5EC8" w:rsidP="2B6B5EC8">
          <w:pPr>
            <w:pStyle w:val="Header"/>
            <w:ind w:right="-115"/>
            <w:jc w:val="right"/>
          </w:pPr>
        </w:p>
      </w:tc>
    </w:tr>
  </w:tbl>
  <w:p w14:paraId="2ECE5311" w14:textId="1AD80859" w:rsidR="2B6B5EC8" w:rsidRDefault="2B6B5EC8" w:rsidP="2B6B5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0AC8" w14:textId="77777777" w:rsidR="00A607B0" w:rsidRDefault="00A607B0">
      <w:r>
        <w:separator/>
      </w:r>
    </w:p>
  </w:footnote>
  <w:footnote w:type="continuationSeparator" w:id="0">
    <w:p w14:paraId="3666F251" w14:textId="77777777" w:rsidR="00A607B0" w:rsidRDefault="00A6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4D99" w14:textId="7B12C7BC" w:rsidR="00DE3815" w:rsidRPr="000328DA" w:rsidRDefault="00DC08BF" w:rsidP="74FB6BE3">
    <w:pPr>
      <w:pStyle w:val="Header"/>
      <w:spacing w:line="259" w:lineRule="auto"/>
    </w:pPr>
    <w:r w:rsidRPr="00F60069">
      <w:rPr>
        <w:lang w:val="en-US"/>
      </w:rPr>
      <w:tab/>
    </w:r>
    <w:r w:rsidRPr="00F60069">
      <w:rPr>
        <w:lang w:val="en-US"/>
      </w:rPr>
      <w:tab/>
    </w:r>
    <w:r w:rsidR="74FB6BE3" w:rsidRPr="00F60069">
      <w:rPr>
        <w:lang w:val="en-US"/>
      </w:rPr>
      <w:t xml:space="preserve">Reference </w:t>
    </w:r>
    <w:r w:rsidR="74FB6BE3" w:rsidRPr="000328DA">
      <w:rPr>
        <w:lang w:val="en-US"/>
      </w:rPr>
      <w:t xml:space="preserve">number: </w:t>
    </w:r>
    <w:r w:rsidR="74FB6BE3">
      <w:rPr>
        <w:lang w:val="en-US"/>
      </w:rPr>
      <w:t>2026-</w:t>
    </w:r>
    <w:r w:rsidR="74FB6BE3" w:rsidRPr="74FB6BE3">
      <w:rPr>
        <w:lang w:val="en-US"/>
      </w:rPr>
      <w:t>200</w:t>
    </w:r>
    <w:r w:rsidR="00876B1E">
      <w:rPr>
        <w:lang w:val="en-US"/>
      </w:rPr>
      <w:t>8</w:t>
    </w:r>
  </w:p>
  <w:p w14:paraId="2F88A047" w14:textId="3BB96B5E" w:rsidR="000941B0" w:rsidRDefault="00DC08BF" w:rsidP="00124667">
    <w:pPr>
      <w:pStyle w:val="Header"/>
      <w:tabs>
        <w:tab w:val="clear" w:pos="4536"/>
        <w:tab w:val="clear" w:pos="9072"/>
        <w:tab w:val="left" w:pos="7699"/>
      </w:tabs>
      <w:rPr>
        <w:lang w:val="en-US"/>
      </w:rPr>
    </w:pPr>
    <w:r>
      <w:rPr>
        <w:noProof/>
      </w:rPr>
      <w:drawing>
        <wp:inline distT="0" distB="0" distL="0" distR="0" wp14:anchorId="2F90D275" wp14:editId="61E6A872">
          <wp:extent cx="2513119" cy="508884"/>
          <wp:effectExtent l="0" t="0" r="1905" b="5715"/>
          <wp:docPr id="491186434" name="Bildobjekt 2" descr="En bild som visar text, Teckensnitt, skärmbild, typografi  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  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667">
      <w:rPr>
        <w:lang w:val="en-US"/>
      </w:rPr>
      <w:tab/>
    </w:r>
  </w:p>
  <w:p w14:paraId="27799864" w14:textId="1B8118DC" w:rsidR="00DE3815" w:rsidRPr="009F0CF8" w:rsidRDefault="00DC08BF" w:rsidP="74FB6BE3">
    <w:pPr>
      <w:pStyle w:val="Header"/>
      <w:rPr>
        <w:highlight w:val="yellow"/>
      </w:rPr>
    </w:pPr>
    <w:r w:rsidRPr="000328DA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D2E" w14:textId="536D7E67" w:rsidR="00C51771" w:rsidRPr="000328DA" w:rsidRDefault="00C51771" w:rsidP="2B6B5EC8">
    <w:pPr>
      <w:pStyle w:val="Header"/>
      <w:spacing w:line="259" w:lineRule="auto"/>
    </w:pPr>
    <w:r w:rsidRPr="00F60069">
      <w:rPr>
        <w:lang w:val="en-US"/>
      </w:rPr>
      <w:tab/>
    </w:r>
    <w:r w:rsidRPr="00F60069">
      <w:rPr>
        <w:lang w:val="en-US"/>
      </w:rPr>
      <w:tab/>
    </w:r>
    <w:r w:rsidR="2B6B5EC8" w:rsidRPr="00F60069">
      <w:rPr>
        <w:lang w:val="en-US"/>
      </w:rPr>
      <w:t xml:space="preserve">Reference </w:t>
    </w:r>
    <w:r w:rsidR="2B6B5EC8" w:rsidRPr="000328DA">
      <w:rPr>
        <w:lang w:val="en-US"/>
      </w:rPr>
      <w:t xml:space="preserve">number: </w:t>
    </w:r>
    <w:r w:rsidR="2B6B5EC8" w:rsidRPr="00876B1E">
      <w:rPr>
        <w:lang w:val="en-US"/>
      </w:rPr>
      <w:t>2026-200</w:t>
    </w:r>
    <w:r w:rsidR="00876B1E" w:rsidRPr="00876B1E">
      <w:rPr>
        <w:lang w:val="en-US"/>
      </w:rPr>
      <w:t>8</w:t>
    </w:r>
  </w:p>
  <w:p w14:paraId="10C405A5" w14:textId="77777777" w:rsidR="00C51771" w:rsidRDefault="00C51771" w:rsidP="00C51771">
    <w:pPr>
      <w:pStyle w:val="Header"/>
      <w:rPr>
        <w:lang w:val="en-US"/>
      </w:rPr>
    </w:pPr>
    <w:r>
      <w:rPr>
        <w:noProof/>
      </w:rPr>
      <w:drawing>
        <wp:inline distT="0" distB="0" distL="0" distR="0" wp14:anchorId="24A447B7" wp14:editId="4D5FF8E4">
          <wp:extent cx="2513119" cy="508884"/>
          <wp:effectExtent l="0" t="0" r="1905" b="5715"/>
          <wp:docPr id="77299745" name="Bildobjekt 2" descr="En bild som visar text, Teckensnitt, skärmbild, typografi  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  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C3B53" w14:textId="4B194CCE" w:rsidR="00C51771" w:rsidRDefault="00C51771" w:rsidP="00C51771">
    <w:pPr>
      <w:pStyle w:val="Header"/>
    </w:pPr>
    <w:r w:rsidRPr="000328DA">
      <w:rPr>
        <w:lang w:val="en-US"/>
      </w:rPr>
      <w:tab/>
    </w:r>
    <w:r w:rsidRPr="000328DA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3F2"/>
    <w:multiLevelType w:val="hybridMultilevel"/>
    <w:tmpl w:val="856873B8"/>
    <w:lvl w:ilvl="0" w:tplc="E40E8598">
      <w:start w:val="1"/>
      <w:numFmt w:val="bullet"/>
      <w:lvlText w:val="●"/>
      <w:lvlJc w:val="left"/>
      <w:pPr>
        <w:ind w:left="720" w:hanging="360"/>
      </w:pPr>
    </w:lvl>
    <w:lvl w:ilvl="1" w:tplc="97DA0E88">
      <w:start w:val="1"/>
      <w:numFmt w:val="bullet"/>
      <w:lvlText w:val="○"/>
      <w:lvlJc w:val="left"/>
      <w:pPr>
        <w:ind w:left="1440" w:hanging="360"/>
      </w:pPr>
    </w:lvl>
    <w:lvl w:ilvl="2" w:tplc="F600E324">
      <w:start w:val="1"/>
      <w:numFmt w:val="bullet"/>
      <w:lvlText w:val="■"/>
      <w:lvlJc w:val="left"/>
      <w:pPr>
        <w:ind w:left="2160" w:hanging="360"/>
      </w:pPr>
    </w:lvl>
    <w:lvl w:ilvl="3" w:tplc="77C42184">
      <w:start w:val="1"/>
      <w:numFmt w:val="bullet"/>
      <w:lvlText w:val="●"/>
      <w:lvlJc w:val="left"/>
      <w:pPr>
        <w:ind w:left="2880" w:hanging="360"/>
      </w:pPr>
    </w:lvl>
    <w:lvl w:ilvl="4" w:tplc="08087F00">
      <w:start w:val="1"/>
      <w:numFmt w:val="bullet"/>
      <w:lvlText w:val="○"/>
      <w:lvlJc w:val="left"/>
      <w:pPr>
        <w:ind w:left="3600" w:hanging="360"/>
      </w:pPr>
    </w:lvl>
    <w:lvl w:ilvl="5" w:tplc="BEBE0CBA">
      <w:start w:val="1"/>
      <w:numFmt w:val="bullet"/>
      <w:lvlText w:val="■"/>
      <w:lvlJc w:val="left"/>
      <w:pPr>
        <w:ind w:left="4320" w:hanging="360"/>
      </w:pPr>
    </w:lvl>
    <w:lvl w:ilvl="6" w:tplc="B06EF7A2">
      <w:start w:val="1"/>
      <w:numFmt w:val="bullet"/>
      <w:lvlText w:val="●"/>
      <w:lvlJc w:val="left"/>
      <w:pPr>
        <w:ind w:left="5040" w:hanging="360"/>
      </w:pPr>
    </w:lvl>
    <w:lvl w:ilvl="7" w:tplc="C9208E8A">
      <w:start w:val="1"/>
      <w:numFmt w:val="bullet"/>
      <w:lvlText w:val="●"/>
      <w:lvlJc w:val="left"/>
      <w:pPr>
        <w:ind w:left="5760" w:hanging="360"/>
      </w:pPr>
    </w:lvl>
    <w:lvl w:ilvl="8" w:tplc="C60080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63676D5"/>
    <w:multiLevelType w:val="hybridMultilevel"/>
    <w:tmpl w:val="FAE4961A"/>
    <w:lvl w:ilvl="0" w:tplc="7C88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55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D5188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8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9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8F2"/>
    <w:multiLevelType w:val="hybridMultilevel"/>
    <w:tmpl w:val="B04AB674"/>
    <w:lvl w:ilvl="0" w:tplc="08F026BC">
      <w:start w:val="1"/>
      <w:numFmt w:val="bullet"/>
      <w:lvlText w:val="•"/>
      <w:lvlJc w:val="left"/>
      <w:pPr>
        <w:ind w:left="560" w:hanging="320"/>
      </w:pPr>
    </w:lvl>
    <w:lvl w:ilvl="1" w:tplc="51C43922">
      <w:numFmt w:val="decimal"/>
      <w:lvlText w:val=""/>
      <w:lvlJc w:val="left"/>
    </w:lvl>
    <w:lvl w:ilvl="2" w:tplc="18D05AA8">
      <w:numFmt w:val="decimal"/>
      <w:lvlText w:val=""/>
      <w:lvlJc w:val="left"/>
    </w:lvl>
    <w:lvl w:ilvl="3" w:tplc="475A9EA2">
      <w:numFmt w:val="decimal"/>
      <w:lvlText w:val=""/>
      <w:lvlJc w:val="left"/>
    </w:lvl>
    <w:lvl w:ilvl="4" w:tplc="46C6B09C">
      <w:numFmt w:val="decimal"/>
      <w:lvlText w:val=""/>
      <w:lvlJc w:val="left"/>
    </w:lvl>
    <w:lvl w:ilvl="5" w:tplc="E86E798C">
      <w:numFmt w:val="decimal"/>
      <w:lvlText w:val=""/>
      <w:lvlJc w:val="left"/>
    </w:lvl>
    <w:lvl w:ilvl="6" w:tplc="938CECD4">
      <w:numFmt w:val="decimal"/>
      <w:lvlText w:val=""/>
      <w:lvlJc w:val="left"/>
    </w:lvl>
    <w:lvl w:ilvl="7" w:tplc="23DAC2D8">
      <w:numFmt w:val="decimal"/>
      <w:lvlText w:val=""/>
      <w:lvlJc w:val="left"/>
    </w:lvl>
    <w:lvl w:ilvl="8" w:tplc="6EB47FFE">
      <w:numFmt w:val="decimal"/>
      <w:lvlText w:val=""/>
      <w:lvlJc w:val="left"/>
    </w:lvl>
  </w:abstractNum>
  <w:abstractNum w:abstractNumId="3" w15:restartNumberingAfterBreak="0">
    <w:nsid w:val="0E074905"/>
    <w:multiLevelType w:val="hybridMultilevel"/>
    <w:tmpl w:val="14904B44"/>
    <w:lvl w:ilvl="0" w:tplc="FD02CB9C">
      <w:start w:val="1"/>
      <w:numFmt w:val="bullet"/>
      <w:lvlText w:val="•"/>
      <w:lvlJc w:val="left"/>
      <w:pPr>
        <w:ind w:left="560" w:hanging="320"/>
      </w:pPr>
    </w:lvl>
    <w:lvl w:ilvl="1" w:tplc="C10C9BF0">
      <w:numFmt w:val="decimal"/>
      <w:lvlText w:val=""/>
      <w:lvlJc w:val="left"/>
    </w:lvl>
    <w:lvl w:ilvl="2" w:tplc="D61EBAA0">
      <w:numFmt w:val="decimal"/>
      <w:lvlText w:val=""/>
      <w:lvlJc w:val="left"/>
    </w:lvl>
    <w:lvl w:ilvl="3" w:tplc="22B03488">
      <w:numFmt w:val="decimal"/>
      <w:lvlText w:val=""/>
      <w:lvlJc w:val="left"/>
    </w:lvl>
    <w:lvl w:ilvl="4" w:tplc="B1D0E588">
      <w:numFmt w:val="decimal"/>
      <w:lvlText w:val=""/>
      <w:lvlJc w:val="left"/>
    </w:lvl>
    <w:lvl w:ilvl="5" w:tplc="27427A1C">
      <w:numFmt w:val="decimal"/>
      <w:lvlText w:val=""/>
      <w:lvlJc w:val="left"/>
    </w:lvl>
    <w:lvl w:ilvl="6" w:tplc="E4620ECE">
      <w:numFmt w:val="decimal"/>
      <w:lvlText w:val=""/>
      <w:lvlJc w:val="left"/>
    </w:lvl>
    <w:lvl w:ilvl="7" w:tplc="614C4010">
      <w:numFmt w:val="decimal"/>
      <w:lvlText w:val=""/>
      <w:lvlJc w:val="left"/>
    </w:lvl>
    <w:lvl w:ilvl="8" w:tplc="039EFE2A">
      <w:numFmt w:val="decimal"/>
      <w:lvlText w:val=""/>
      <w:lvlJc w:val="left"/>
    </w:lvl>
  </w:abstractNum>
  <w:abstractNum w:abstractNumId="4" w15:restartNumberingAfterBreak="0">
    <w:nsid w:val="16403A06"/>
    <w:multiLevelType w:val="multilevel"/>
    <w:tmpl w:val="6C3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44CE8"/>
    <w:multiLevelType w:val="multilevel"/>
    <w:tmpl w:val="9C389BF4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D44D9"/>
    <w:multiLevelType w:val="multilevel"/>
    <w:tmpl w:val="D5245CC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B42917"/>
    <w:multiLevelType w:val="hybridMultilevel"/>
    <w:tmpl w:val="1A5A36A8"/>
    <w:lvl w:ilvl="0" w:tplc="2E68B90A">
      <w:start w:val="1"/>
      <w:numFmt w:val="bullet"/>
      <w:lvlText w:val="•"/>
      <w:lvlJc w:val="left"/>
      <w:pPr>
        <w:ind w:left="720" w:hanging="360"/>
      </w:pPr>
    </w:lvl>
    <w:lvl w:ilvl="1" w:tplc="65CCB7EC">
      <w:numFmt w:val="decimal"/>
      <w:lvlText w:val=""/>
      <w:lvlJc w:val="left"/>
    </w:lvl>
    <w:lvl w:ilvl="2" w:tplc="7DFC9FDE">
      <w:numFmt w:val="decimal"/>
      <w:lvlText w:val=""/>
      <w:lvlJc w:val="left"/>
    </w:lvl>
    <w:lvl w:ilvl="3" w:tplc="A740DF2A">
      <w:numFmt w:val="decimal"/>
      <w:lvlText w:val=""/>
      <w:lvlJc w:val="left"/>
    </w:lvl>
    <w:lvl w:ilvl="4" w:tplc="D7881D68">
      <w:numFmt w:val="decimal"/>
      <w:lvlText w:val=""/>
      <w:lvlJc w:val="left"/>
    </w:lvl>
    <w:lvl w:ilvl="5" w:tplc="85BE5DB8">
      <w:numFmt w:val="decimal"/>
      <w:lvlText w:val=""/>
      <w:lvlJc w:val="left"/>
    </w:lvl>
    <w:lvl w:ilvl="6" w:tplc="E8D4D1C2">
      <w:numFmt w:val="decimal"/>
      <w:lvlText w:val=""/>
      <w:lvlJc w:val="left"/>
    </w:lvl>
    <w:lvl w:ilvl="7" w:tplc="9DEABCE8">
      <w:numFmt w:val="decimal"/>
      <w:lvlText w:val=""/>
      <w:lvlJc w:val="left"/>
    </w:lvl>
    <w:lvl w:ilvl="8" w:tplc="92F07508">
      <w:numFmt w:val="decimal"/>
      <w:lvlText w:val=""/>
      <w:lvlJc w:val="left"/>
    </w:lvl>
  </w:abstractNum>
  <w:abstractNum w:abstractNumId="8" w15:restartNumberingAfterBreak="0">
    <w:nsid w:val="2C5029E1"/>
    <w:multiLevelType w:val="hybridMultilevel"/>
    <w:tmpl w:val="FFFFFFFF"/>
    <w:lvl w:ilvl="0" w:tplc="010EC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8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C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A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B34B7"/>
    <w:multiLevelType w:val="hybridMultilevel"/>
    <w:tmpl w:val="25E079E0"/>
    <w:lvl w:ilvl="0" w:tplc="0A9E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6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0D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4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4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4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9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2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4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1978"/>
    <w:multiLevelType w:val="hybridMultilevel"/>
    <w:tmpl w:val="FC38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97335"/>
    <w:multiLevelType w:val="hybridMultilevel"/>
    <w:tmpl w:val="176AB21A"/>
    <w:lvl w:ilvl="0" w:tplc="A3D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29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C9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4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8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666B9"/>
    <w:multiLevelType w:val="hybridMultilevel"/>
    <w:tmpl w:val="207A37F8"/>
    <w:lvl w:ilvl="0" w:tplc="AF5E32D8">
      <w:start w:val="1"/>
      <w:numFmt w:val="bullet"/>
      <w:lvlText w:val="●"/>
      <w:lvlJc w:val="left"/>
      <w:pPr>
        <w:ind w:left="720" w:hanging="360"/>
      </w:pPr>
    </w:lvl>
    <w:lvl w:ilvl="1" w:tplc="DA184B24">
      <w:start w:val="1"/>
      <w:numFmt w:val="bullet"/>
      <w:lvlText w:val="○"/>
      <w:lvlJc w:val="left"/>
      <w:pPr>
        <w:ind w:left="1440" w:hanging="360"/>
      </w:pPr>
    </w:lvl>
    <w:lvl w:ilvl="2" w:tplc="0144D44E">
      <w:start w:val="1"/>
      <w:numFmt w:val="bullet"/>
      <w:lvlText w:val="■"/>
      <w:lvlJc w:val="left"/>
      <w:pPr>
        <w:ind w:left="2160" w:hanging="360"/>
      </w:pPr>
    </w:lvl>
    <w:lvl w:ilvl="3" w:tplc="3DD4756A">
      <w:start w:val="1"/>
      <w:numFmt w:val="bullet"/>
      <w:lvlText w:val="●"/>
      <w:lvlJc w:val="left"/>
      <w:pPr>
        <w:ind w:left="2880" w:hanging="360"/>
      </w:pPr>
    </w:lvl>
    <w:lvl w:ilvl="4" w:tplc="FDB25DD6">
      <w:start w:val="1"/>
      <w:numFmt w:val="bullet"/>
      <w:lvlText w:val="○"/>
      <w:lvlJc w:val="left"/>
      <w:pPr>
        <w:ind w:left="3600" w:hanging="360"/>
      </w:pPr>
    </w:lvl>
    <w:lvl w:ilvl="5" w:tplc="355A3592">
      <w:start w:val="1"/>
      <w:numFmt w:val="bullet"/>
      <w:lvlText w:val="■"/>
      <w:lvlJc w:val="left"/>
      <w:pPr>
        <w:ind w:left="4320" w:hanging="360"/>
      </w:pPr>
    </w:lvl>
    <w:lvl w:ilvl="6" w:tplc="A93CD31E">
      <w:start w:val="1"/>
      <w:numFmt w:val="bullet"/>
      <w:lvlText w:val="●"/>
      <w:lvlJc w:val="left"/>
      <w:pPr>
        <w:ind w:left="5040" w:hanging="360"/>
      </w:pPr>
    </w:lvl>
    <w:lvl w:ilvl="7" w:tplc="E01400BC">
      <w:start w:val="1"/>
      <w:numFmt w:val="bullet"/>
      <w:lvlText w:val="●"/>
      <w:lvlJc w:val="left"/>
      <w:pPr>
        <w:ind w:left="5760" w:hanging="360"/>
      </w:pPr>
    </w:lvl>
    <w:lvl w:ilvl="8" w:tplc="8A58D3B8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32756ABA"/>
    <w:multiLevelType w:val="hybridMultilevel"/>
    <w:tmpl w:val="DF5C7BC8"/>
    <w:lvl w:ilvl="0" w:tplc="24B0D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BEC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C4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6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F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4ED"/>
    <w:multiLevelType w:val="hybridMultilevel"/>
    <w:tmpl w:val="92927DD8"/>
    <w:lvl w:ilvl="0" w:tplc="5E3ECF1A">
      <w:start w:val="1"/>
      <w:numFmt w:val="bullet"/>
      <w:lvlText w:val="•"/>
      <w:lvlJc w:val="left"/>
      <w:pPr>
        <w:ind w:left="720" w:hanging="360"/>
      </w:pPr>
    </w:lvl>
    <w:lvl w:ilvl="1" w:tplc="CA2692D4">
      <w:numFmt w:val="decimal"/>
      <w:lvlText w:val=""/>
      <w:lvlJc w:val="left"/>
    </w:lvl>
    <w:lvl w:ilvl="2" w:tplc="5B7618CE">
      <w:numFmt w:val="decimal"/>
      <w:lvlText w:val=""/>
      <w:lvlJc w:val="left"/>
    </w:lvl>
    <w:lvl w:ilvl="3" w:tplc="1680A6E2">
      <w:numFmt w:val="decimal"/>
      <w:lvlText w:val=""/>
      <w:lvlJc w:val="left"/>
    </w:lvl>
    <w:lvl w:ilvl="4" w:tplc="9A32EBA0">
      <w:numFmt w:val="decimal"/>
      <w:lvlText w:val=""/>
      <w:lvlJc w:val="left"/>
    </w:lvl>
    <w:lvl w:ilvl="5" w:tplc="ECBEE79A">
      <w:numFmt w:val="decimal"/>
      <w:lvlText w:val=""/>
      <w:lvlJc w:val="left"/>
    </w:lvl>
    <w:lvl w:ilvl="6" w:tplc="BD283EE6">
      <w:numFmt w:val="decimal"/>
      <w:lvlText w:val=""/>
      <w:lvlJc w:val="left"/>
    </w:lvl>
    <w:lvl w:ilvl="7" w:tplc="6458FD42">
      <w:numFmt w:val="decimal"/>
      <w:lvlText w:val=""/>
      <w:lvlJc w:val="left"/>
    </w:lvl>
    <w:lvl w:ilvl="8" w:tplc="689ED34E">
      <w:numFmt w:val="decimal"/>
      <w:lvlText w:val=""/>
      <w:lvlJc w:val="left"/>
    </w:lvl>
  </w:abstractNum>
  <w:abstractNum w:abstractNumId="15" w15:restartNumberingAfterBreak="0">
    <w:nsid w:val="3A116055"/>
    <w:multiLevelType w:val="hybridMultilevel"/>
    <w:tmpl w:val="AF1A0E86"/>
    <w:lvl w:ilvl="0" w:tplc="6C080576">
      <w:start w:val="1"/>
      <w:numFmt w:val="bullet"/>
      <w:lvlText w:val="•"/>
      <w:lvlJc w:val="left"/>
      <w:pPr>
        <w:ind w:left="720" w:hanging="360"/>
      </w:pPr>
    </w:lvl>
    <w:lvl w:ilvl="1" w:tplc="D37CD6B0">
      <w:numFmt w:val="decimal"/>
      <w:lvlText w:val=""/>
      <w:lvlJc w:val="left"/>
    </w:lvl>
    <w:lvl w:ilvl="2" w:tplc="D3D40192">
      <w:numFmt w:val="decimal"/>
      <w:lvlText w:val=""/>
      <w:lvlJc w:val="left"/>
    </w:lvl>
    <w:lvl w:ilvl="3" w:tplc="B6264C44">
      <w:numFmt w:val="decimal"/>
      <w:lvlText w:val=""/>
      <w:lvlJc w:val="left"/>
    </w:lvl>
    <w:lvl w:ilvl="4" w:tplc="3A16D550">
      <w:numFmt w:val="decimal"/>
      <w:lvlText w:val=""/>
      <w:lvlJc w:val="left"/>
    </w:lvl>
    <w:lvl w:ilvl="5" w:tplc="F4448E86">
      <w:numFmt w:val="decimal"/>
      <w:lvlText w:val=""/>
      <w:lvlJc w:val="left"/>
    </w:lvl>
    <w:lvl w:ilvl="6" w:tplc="3B68815C">
      <w:numFmt w:val="decimal"/>
      <w:lvlText w:val=""/>
      <w:lvlJc w:val="left"/>
    </w:lvl>
    <w:lvl w:ilvl="7" w:tplc="27D6B346">
      <w:numFmt w:val="decimal"/>
      <w:lvlText w:val=""/>
      <w:lvlJc w:val="left"/>
    </w:lvl>
    <w:lvl w:ilvl="8" w:tplc="F9527E5C">
      <w:numFmt w:val="decimal"/>
      <w:lvlText w:val=""/>
      <w:lvlJc w:val="left"/>
    </w:lvl>
  </w:abstractNum>
  <w:abstractNum w:abstractNumId="16" w15:restartNumberingAfterBreak="0">
    <w:nsid w:val="4531225F"/>
    <w:multiLevelType w:val="hybridMultilevel"/>
    <w:tmpl w:val="23EEC1BC"/>
    <w:lvl w:ilvl="0" w:tplc="78DA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A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4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B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1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2719"/>
    <w:multiLevelType w:val="hybridMultilevel"/>
    <w:tmpl w:val="65C48228"/>
    <w:lvl w:ilvl="0" w:tplc="A134F110">
      <w:start w:val="1"/>
      <w:numFmt w:val="bullet"/>
      <w:lvlText w:val="●"/>
      <w:lvlJc w:val="left"/>
      <w:pPr>
        <w:ind w:left="720" w:hanging="360"/>
      </w:pPr>
    </w:lvl>
    <w:lvl w:ilvl="1" w:tplc="A7FE4CFA">
      <w:start w:val="1"/>
      <w:numFmt w:val="bullet"/>
      <w:lvlText w:val="○"/>
      <w:lvlJc w:val="left"/>
      <w:pPr>
        <w:ind w:left="1440" w:hanging="360"/>
      </w:pPr>
    </w:lvl>
    <w:lvl w:ilvl="2" w:tplc="A9C8FE4C">
      <w:start w:val="1"/>
      <w:numFmt w:val="bullet"/>
      <w:lvlText w:val="■"/>
      <w:lvlJc w:val="left"/>
      <w:pPr>
        <w:ind w:left="2160" w:hanging="360"/>
      </w:pPr>
    </w:lvl>
    <w:lvl w:ilvl="3" w:tplc="3BDCF49C">
      <w:start w:val="1"/>
      <w:numFmt w:val="bullet"/>
      <w:lvlText w:val="●"/>
      <w:lvlJc w:val="left"/>
      <w:pPr>
        <w:ind w:left="2880" w:hanging="360"/>
      </w:pPr>
    </w:lvl>
    <w:lvl w:ilvl="4" w:tplc="93408038">
      <w:start w:val="1"/>
      <w:numFmt w:val="bullet"/>
      <w:lvlText w:val="○"/>
      <w:lvlJc w:val="left"/>
      <w:pPr>
        <w:ind w:left="3600" w:hanging="360"/>
      </w:pPr>
    </w:lvl>
    <w:lvl w:ilvl="5" w:tplc="71809906">
      <w:start w:val="1"/>
      <w:numFmt w:val="bullet"/>
      <w:lvlText w:val="■"/>
      <w:lvlJc w:val="left"/>
      <w:pPr>
        <w:ind w:left="4320" w:hanging="360"/>
      </w:pPr>
    </w:lvl>
    <w:lvl w:ilvl="6" w:tplc="2AE4B678">
      <w:start w:val="1"/>
      <w:numFmt w:val="bullet"/>
      <w:lvlText w:val="●"/>
      <w:lvlJc w:val="left"/>
      <w:pPr>
        <w:ind w:left="5040" w:hanging="360"/>
      </w:pPr>
    </w:lvl>
    <w:lvl w:ilvl="7" w:tplc="D2801E4C">
      <w:start w:val="1"/>
      <w:numFmt w:val="bullet"/>
      <w:lvlText w:val="●"/>
      <w:lvlJc w:val="left"/>
      <w:pPr>
        <w:ind w:left="5760" w:hanging="360"/>
      </w:pPr>
    </w:lvl>
    <w:lvl w:ilvl="8" w:tplc="C3A62934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4CA17536"/>
    <w:multiLevelType w:val="hybridMultilevel"/>
    <w:tmpl w:val="CE6EEFEA"/>
    <w:lvl w:ilvl="0" w:tplc="91A01830">
      <w:start w:val="1"/>
      <w:numFmt w:val="bullet"/>
      <w:lvlText w:val="●"/>
      <w:lvlJc w:val="left"/>
      <w:pPr>
        <w:ind w:left="720" w:hanging="360"/>
      </w:pPr>
    </w:lvl>
    <w:lvl w:ilvl="1" w:tplc="29F4C222">
      <w:start w:val="1"/>
      <w:numFmt w:val="bullet"/>
      <w:lvlText w:val="○"/>
      <w:lvlJc w:val="left"/>
      <w:pPr>
        <w:ind w:left="1440" w:hanging="360"/>
      </w:pPr>
    </w:lvl>
    <w:lvl w:ilvl="2" w:tplc="13D092B0">
      <w:start w:val="1"/>
      <w:numFmt w:val="bullet"/>
      <w:lvlText w:val="■"/>
      <w:lvlJc w:val="left"/>
      <w:pPr>
        <w:ind w:left="2160" w:hanging="360"/>
      </w:pPr>
    </w:lvl>
    <w:lvl w:ilvl="3" w:tplc="094640A2">
      <w:start w:val="1"/>
      <w:numFmt w:val="bullet"/>
      <w:lvlText w:val="●"/>
      <w:lvlJc w:val="left"/>
      <w:pPr>
        <w:ind w:left="2880" w:hanging="360"/>
      </w:pPr>
    </w:lvl>
    <w:lvl w:ilvl="4" w:tplc="0684788E">
      <w:start w:val="1"/>
      <w:numFmt w:val="bullet"/>
      <w:lvlText w:val="○"/>
      <w:lvlJc w:val="left"/>
      <w:pPr>
        <w:ind w:left="3600" w:hanging="360"/>
      </w:pPr>
    </w:lvl>
    <w:lvl w:ilvl="5" w:tplc="52AC29EA">
      <w:start w:val="1"/>
      <w:numFmt w:val="bullet"/>
      <w:lvlText w:val="■"/>
      <w:lvlJc w:val="left"/>
      <w:pPr>
        <w:ind w:left="4320" w:hanging="360"/>
      </w:pPr>
    </w:lvl>
    <w:lvl w:ilvl="6" w:tplc="76D08C98">
      <w:start w:val="1"/>
      <w:numFmt w:val="bullet"/>
      <w:lvlText w:val="●"/>
      <w:lvlJc w:val="left"/>
      <w:pPr>
        <w:ind w:left="5040" w:hanging="360"/>
      </w:pPr>
    </w:lvl>
    <w:lvl w:ilvl="7" w:tplc="45E0F8B0">
      <w:start w:val="1"/>
      <w:numFmt w:val="bullet"/>
      <w:lvlText w:val="●"/>
      <w:lvlJc w:val="left"/>
      <w:pPr>
        <w:ind w:left="5760" w:hanging="360"/>
      </w:pPr>
    </w:lvl>
    <w:lvl w:ilvl="8" w:tplc="1BFE4DD0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4EE62342"/>
    <w:multiLevelType w:val="hybridMultilevel"/>
    <w:tmpl w:val="90929CBA"/>
    <w:lvl w:ilvl="0" w:tplc="D10C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C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6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7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1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0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05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55C91"/>
    <w:multiLevelType w:val="hybridMultilevel"/>
    <w:tmpl w:val="F6F6D458"/>
    <w:lvl w:ilvl="0" w:tplc="B1603AC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5BA2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E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6A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6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6D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42B"/>
    <w:multiLevelType w:val="multilevel"/>
    <w:tmpl w:val="9C389BF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71472"/>
    <w:multiLevelType w:val="multilevel"/>
    <w:tmpl w:val="D5245C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8B7104D"/>
    <w:multiLevelType w:val="hybridMultilevel"/>
    <w:tmpl w:val="DE18BEA0"/>
    <w:lvl w:ilvl="0" w:tplc="7A4639C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6D68012F"/>
    <w:multiLevelType w:val="hybridMultilevel"/>
    <w:tmpl w:val="6D2ED7EA"/>
    <w:lvl w:ilvl="0" w:tplc="0BB21B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EFE8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4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5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63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8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3211A"/>
    <w:multiLevelType w:val="hybridMultilevel"/>
    <w:tmpl w:val="D77AEEE4"/>
    <w:lvl w:ilvl="0" w:tplc="95C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8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3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4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A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86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614D"/>
    <w:multiLevelType w:val="hybridMultilevel"/>
    <w:tmpl w:val="39FE3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36070">
    <w:abstractNumId w:val="22"/>
  </w:num>
  <w:num w:numId="2" w16cid:durableId="352148424">
    <w:abstractNumId w:val="19"/>
  </w:num>
  <w:num w:numId="3" w16cid:durableId="194537383">
    <w:abstractNumId w:val="16"/>
  </w:num>
  <w:num w:numId="4" w16cid:durableId="1342859152">
    <w:abstractNumId w:val="24"/>
  </w:num>
  <w:num w:numId="5" w16cid:durableId="1870027315">
    <w:abstractNumId w:val="9"/>
  </w:num>
  <w:num w:numId="6" w16cid:durableId="1224757000">
    <w:abstractNumId w:val="25"/>
  </w:num>
  <w:num w:numId="7" w16cid:durableId="1024596280">
    <w:abstractNumId w:val="11"/>
  </w:num>
  <w:num w:numId="8" w16cid:durableId="1137912083">
    <w:abstractNumId w:val="20"/>
  </w:num>
  <w:num w:numId="9" w16cid:durableId="1792750358">
    <w:abstractNumId w:val="1"/>
  </w:num>
  <w:num w:numId="10" w16cid:durableId="1430589735">
    <w:abstractNumId w:val="13"/>
  </w:num>
  <w:num w:numId="11" w16cid:durableId="999770545">
    <w:abstractNumId w:val="8"/>
  </w:num>
  <w:num w:numId="12" w16cid:durableId="1848641128">
    <w:abstractNumId w:val="6"/>
  </w:num>
  <w:num w:numId="13" w16cid:durableId="770052333">
    <w:abstractNumId w:val="21"/>
  </w:num>
  <w:num w:numId="14" w16cid:durableId="826752801">
    <w:abstractNumId w:val="5"/>
  </w:num>
  <w:num w:numId="15" w16cid:durableId="800461043">
    <w:abstractNumId w:val="10"/>
  </w:num>
  <w:num w:numId="16" w16cid:durableId="834153445">
    <w:abstractNumId w:val="4"/>
  </w:num>
  <w:num w:numId="17" w16cid:durableId="1790779106">
    <w:abstractNumId w:val="26"/>
  </w:num>
  <w:num w:numId="18" w16cid:durableId="1886060835">
    <w:abstractNumId w:val="23"/>
  </w:num>
  <w:num w:numId="19" w16cid:durableId="913441006">
    <w:abstractNumId w:val="12"/>
    <w:lvlOverride w:ilvl="0">
      <w:startOverride w:val="1"/>
    </w:lvlOverride>
  </w:num>
  <w:num w:numId="20" w16cid:durableId="972445483">
    <w:abstractNumId w:val="3"/>
    <w:lvlOverride w:ilvl="0">
      <w:startOverride w:val="1"/>
    </w:lvlOverride>
  </w:num>
  <w:num w:numId="21" w16cid:durableId="1846745645">
    <w:abstractNumId w:val="17"/>
    <w:lvlOverride w:ilvl="0">
      <w:startOverride w:val="1"/>
    </w:lvlOverride>
  </w:num>
  <w:num w:numId="22" w16cid:durableId="1193226990">
    <w:abstractNumId w:val="2"/>
    <w:lvlOverride w:ilvl="0">
      <w:startOverride w:val="1"/>
    </w:lvlOverride>
  </w:num>
  <w:num w:numId="23" w16cid:durableId="949707011">
    <w:abstractNumId w:val="15"/>
    <w:lvlOverride w:ilvl="0">
      <w:startOverride w:val="1"/>
    </w:lvlOverride>
  </w:num>
  <w:num w:numId="24" w16cid:durableId="1218053461">
    <w:abstractNumId w:val="0"/>
    <w:lvlOverride w:ilvl="0">
      <w:startOverride w:val="1"/>
    </w:lvlOverride>
  </w:num>
  <w:num w:numId="25" w16cid:durableId="124935813">
    <w:abstractNumId w:val="7"/>
    <w:lvlOverride w:ilvl="0">
      <w:startOverride w:val="1"/>
    </w:lvlOverride>
  </w:num>
  <w:num w:numId="26" w16cid:durableId="1999184157">
    <w:abstractNumId w:val="18"/>
    <w:lvlOverride w:ilvl="0">
      <w:startOverride w:val="1"/>
    </w:lvlOverride>
  </w:num>
  <w:num w:numId="27" w16cid:durableId="345598722">
    <w:abstractNumId w:val="14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4B"/>
    <w:rsid w:val="0000146E"/>
    <w:rsid w:val="00003F6B"/>
    <w:rsid w:val="0000543A"/>
    <w:rsid w:val="00010FF6"/>
    <w:rsid w:val="00015387"/>
    <w:rsid w:val="00017713"/>
    <w:rsid w:val="00020745"/>
    <w:rsid w:val="00021A74"/>
    <w:rsid w:val="0002300E"/>
    <w:rsid w:val="0002354D"/>
    <w:rsid w:val="00024F3F"/>
    <w:rsid w:val="00025FBA"/>
    <w:rsid w:val="0002693D"/>
    <w:rsid w:val="000328DA"/>
    <w:rsid w:val="000340AF"/>
    <w:rsid w:val="00044ED3"/>
    <w:rsid w:val="00046334"/>
    <w:rsid w:val="000472F3"/>
    <w:rsid w:val="00055B88"/>
    <w:rsid w:val="00056125"/>
    <w:rsid w:val="00063C9A"/>
    <w:rsid w:val="00063CA1"/>
    <w:rsid w:val="000717E0"/>
    <w:rsid w:val="00077674"/>
    <w:rsid w:val="00083871"/>
    <w:rsid w:val="00086671"/>
    <w:rsid w:val="00087952"/>
    <w:rsid w:val="000941B0"/>
    <w:rsid w:val="000945F6"/>
    <w:rsid w:val="000A0455"/>
    <w:rsid w:val="000A456F"/>
    <w:rsid w:val="000A6341"/>
    <w:rsid w:val="000A79DA"/>
    <w:rsid w:val="000B1633"/>
    <w:rsid w:val="000B42BE"/>
    <w:rsid w:val="000B5173"/>
    <w:rsid w:val="000B6003"/>
    <w:rsid w:val="000C0038"/>
    <w:rsid w:val="000D47B3"/>
    <w:rsid w:val="000E60B1"/>
    <w:rsid w:val="000E7961"/>
    <w:rsid w:val="000F4158"/>
    <w:rsid w:val="000F4CD7"/>
    <w:rsid w:val="00102D37"/>
    <w:rsid w:val="00102E7D"/>
    <w:rsid w:val="0011451B"/>
    <w:rsid w:val="00121021"/>
    <w:rsid w:val="00124667"/>
    <w:rsid w:val="00135BA0"/>
    <w:rsid w:val="00137009"/>
    <w:rsid w:val="001418B0"/>
    <w:rsid w:val="001452EE"/>
    <w:rsid w:val="0014680F"/>
    <w:rsid w:val="00147ABD"/>
    <w:rsid w:val="001563C1"/>
    <w:rsid w:val="00164783"/>
    <w:rsid w:val="00165A10"/>
    <w:rsid w:val="00167A01"/>
    <w:rsid w:val="001723C7"/>
    <w:rsid w:val="001729BF"/>
    <w:rsid w:val="00174733"/>
    <w:rsid w:val="00176A19"/>
    <w:rsid w:val="00177AA5"/>
    <w:rsid w:val="00180ED1"/>
    <w:rsid w:val="00185AE8"/>
    <w:rsid w:val="0019168D"/>
    <w:rsid w:val="001A54F4"/>
    <w:rsid w:val="001B035D"/>
    <w:rsid w:val="001B06A1"/>
    <w:rsid w:val="001B151E"/>
    <w:rsid w:val="001B5208"/>
    <w:rsid w:val="001B56D1"/>
    <w:rsid w:val="001B59C5"/>
    <w:rsid w:val="001B6389"/>
    <w:rsid w:val="001B68E1"/>
    <w:rsid w:val="001C1693"/>
    <w:rsid w:val="001C2BB3"/>
    <w:rsid w:val="001C49B4"/>
    <w:rsid w:val="001D10FA"/>
    <w:rsid w:val="001D265A"/>
    <w:rsid w:val="001D3638"/>
    <w:rsid w:val="001D6007"/>
    <w:rsid w:val="001F1083"/>
    <w:rsid w:val="001F2C34"/>
    <w:rsid w:val="002010DC"/>
    <w:rsid w:val="00202FBD"/>
    <w:rsid w:val="002046C4"/>
    <w:rsid w:val="002219D1"/>
    <w:rsid w:val="002229CC"/>
    <w:rsid w:val="002278CB"/>
    <w:rsid w:val="00230E6B"/>
    <w:rsid w:val="00233482"/>
    <w:rsid w:val="002338EE"/>
    <w:rsid w:val="00243B5D"/>
    <w:rsid w:val="0024566E"/>
    <w:rsid w:val="00245C39"/>
    <w:rsid w:val="00253074"/>
    <w:rsid w:val="002538E2"/>
    <w:rsid w:val="00260FB7"/>
    <w:rsid w:val="0026394C"/>
    <w:rsid w:val="0026652C"/>
    <w:rsid w:val="00272B77"/>
    <w:rsid w:val="0027797F"/>
    <w:rsid w:val="00286DB4"/>
    <w:rsid w:val="00291074"/>
    <w:rsid w:val="0029358F"/>
    <w:rsid w:val="002940A5"/>
    <w:rsid w:val="002943EE"/>
    <w:rsid w:val="00296096"/>
    <w:rsid w:val="002A57AA"/>
    <w:rsid w:val="002B28BB"/>
    <w:rsid w:val="002B7430"/>
    <w:rsid w:val="002B78D5"/>
    <w:rsid w:val="002C4E5D"/>
    <w:rsid w:val="002C4FB0"/>
    <w:rsid w:val="002D1C5F"/>
    <w:rsid w:val="002D3BC1"/>
    <w:rsid w:val="002D4C18"/>
    <w:rsid w:val="002D55BC"/>
    <w:rsid w:val="002D78E7"/>
    <w:rsid w:val="002E310C"/>
    <w:rsid w:val="002F3678"/>
    <w:rsid w:val="002F63AB"/>
    <w:rsid w:val="00300DBD"/>
    <w:rsid w:val="00303E35"/>
    <w:rsid w:val="00305A6F"/>
    <w:rsid w:val="00306C77"/>
    <w:rsid w:val="00307129"/>
    <w:rsid w:val="003130C7"/>
    <w:rsid w:val="00313FA4"/>
    <w:rsid w:val="00323BF2"/>
    <w:rsid w:val="00334862"/>
    <w:rsid w:val="00336FA5"/>
    <w:rsid w:val="00345016"/>
    <w:rsid w:val="0034690E"/>
    <w:rsid w:val="00350C3D"/>
    <w:rsid w:val="0035624A"/>
    <w:rsid w:val="00363A56"/>
    <w:rsid w:val="003644CC"/>
    <w:rsid w:val="00375610"/>
    <w:rsid w:val="00376B52"/>
    <w:rsid w:val="00376C9A"/>
    <w:rsid w:val="003777F5"/>
    <w:rsid w:val="003807A2"/>
    <w:rsid w:val="003876B1"/>
    <w:rsid w:val="00391554"/>
    <w:rsid w:val="00391942"/>
    <w:rsid w:val="003920AB"/>
    <w:rsid w:val="00393D6C"/>
    <w:rsid w:val="0039407B"/>
    <w:rsid w:val="003953A5"/>
    <w:rsid w:val="003958A8"/>
    <w:rsid w:val="003A229C"/>
    <w:rsid w:val="003A6B72"/>
    <w:rsid w:val="003B39A9"/>
    <w:rsid w:val="003B46CD"/>
    <w:rsid w:val="003B4D4C"/>
    <w:rsid w:val="003B6811"/>
    <w:rsid w:val="003B70AA"/>
    <w:rsid w:val="003B7DC6"/>
    <w:rsid w:val="003C2E55"/>
    <w:rsid w:val="003C316A"/>
    <w:rsid w:val="003C49A4"/>
    <w:rsid w:val="003C6016"/>
    <w:rsid w:val="003D01D3"/>
    <w:rsid w:val="003D5C80"/>
    <w:rsid w:val="003D73F5"/>
    <w:rsid w:val="003F0197"/>
    <w:rsid w:val="003F2C42"/>
    <w:rsid w:val="003F36CE"/>
    <w:rsid w:val="003F4677"/>
    <w:rsid w:val="00402834"/>
    <w:rsid w:val="00407053"/>
    <w:rsid w:val="00407669"/>
    <w:rsid w:val="00410301"/>
    <w:rsid w:val="00412D9E"/>
    <w:rsid w:val="00412F4B"/>
    <w:rsid w:val="0041514F"/>
    <w:rsid w:val="004162EA"/>
    <w:rsid w:val="00417722"/>
    <w:rsid w:val="00424AA0"/>
    <w:rsid w:val="00441198"/>
    <w:rsid w:val="0044273B"/>
    <w:rsid w:val="004513B8"/>
    <w:rsid w:val="00455581"/>
    <w:rsid w:val="00457C36"/>
    <w:rsid w:val="004613FE"/>
    <w:rsid w:val="00462F19"/>
    <w:rsid w:val="0046403E"/>
    <w:rsid w:val="004655AA"/>
    <w:rsid w:val="00470EA1"/>
    <w:rsid w:val="00472F31"/>
    <w:rsid w:val="00474D25"/>
    <w:rsid w:val="0048319D"/>
    <w:rsid w:val="00483E32"/>
    <w:rsid w:val="00484602"/>
    <w:rsid w:val="00492E9E"/>
    <w:rsid w:val="00493621"/>
    <w:rsid w:val="00493726"/>
    <w:rsid w:val="0049604B"/>
    <w:rsid w:val="00496666"/>
    <w:rsid w:val="004977CA"/>
    <w:rsid w:val="004A0D49"/>
    <w:rsid w:val="004A1E72"/>
    <w:rsid w:val="004A2C5F"/>
    <w:rsid w:val="004A5AAC"/>
    <w:rsid w:val="004A620F"/>
    <w:rsid w:val="004B3C06"/>
    <w:rsid w:val="004B6CE4"/>
    <w:rsid w:val="004C108A"/>
    <w:rsid w:val="004C1FF0"/>
    <w:rsid w:val="004C44CE"/>
    <w:rsid w:val="004C4840"/>
    <w:rsid w:val="004D40CB"/>
    <w:rsid w:val="004D7F45"/>
    <w:rsid w:val="004E03EC"/>
    <w:rsid w:val="004E1ACD"/>
    <w:rsid w:val="004E2AB3"/>
    <w:rsid w:val="004E6D24"/>
    <w:rsid w:val="004E7E29"/>
    <w:rsid w:val="0050675A"/>
    <w:rsid w:val="0051025E"/>
    <w:rsid w:val="0051303A"/>
    <w:rsid w:val="00513692"/>
    <w:rsid w:val="005201FC"/>
    <w:rsid w:val="00534825"/>
    <w:rsid w:val="0053730B"/>
    <w:rsid w:val="005441A7"/>
    <w:rsid w:val="005465AA"/>
    <w:rsid w:val="005474DD"/>
    <w:rsid w:val="005531D7"/>
    <w:rsid w:val="005550A9"/>
    <w:rsid w:val="00556960"/>
    <w:rsid w:val="0056367D"/>
    <w:rsid w:val="00564E42"/>
    <w:rsid w:val="00565E1C"/>
    <w:rsid w:val="005758C2"/>
    <w:rsid w:val="00576893"/>
    <w:rsid w:val="00580AA9"/>
    <w:rsid w:val="00583CB2"/>
    <w:rsid w:val="0058404C"/>
    <w:rsid w:val="00586616"/>
    <w:rsid w:val="00587BEB"/>
    <w:rsid w:val="005910FD"/>
    <w:rsid w:val="0059674C"/>
    <w:rsid w:val="0059746A"/>
    <w:rsid w:val="005A0E34"/>
    <w:rsid w:val="005B1CCD"/>
    <w:rsid w:val="005B62A1"/>
    <w:rsid w:val="005C0289"/>
    <w:rsid w:val="005C11A0"/>
    <w:rsid w:val="005C2D6D"/>
    <w:rsid w:val="005C5496"/>
    <w:rsid w:val="005C7A1F"/>
    <w:rsid w:val="005D0B43"/>
    <w:rsid w:val="005D273A"/>
    <w:rsid w:val="005D759B"/>
    <w:rsid w:val="005E5E72"/>
    <w:rsid w:val="005E63AF"/>
    <w:rsid w:val="005F44AB"/>
    <w:rsid w:val="005F7A97"/>
    <w:rsid w:val="00605FB9"/>
    <w:rsid w:val="006104A9"/>
    <w:rsid w:val="00615E36"/>
    <w:rsid w:val="00620AF3"/>
    <w:rsid w:val="0062481C"/>
    <w:rsid w:val="00625426"/>
    <w:rsid w:val="006274CD"/>
    <w:rsid w:val="00636813"/>
    <w:rsid w:val="0064408F"/>
    <w:rsid w:val="006442F0"/>
    <w:rsid w:val="00646162"/>
    <w:rsid w:val="00650A95"/>
    <w:rsid w:val="00657356"/>
    <w:rsid w:val="006602CE"/>
    <w:rsid w:val="00675675"/>
    <w:rsid w:val="00680347"/>
    <w:rsid w:val="00683BCA"/>
    <w:rsid w:val="00687151"/>
    <w:rsid w:val="00687E1E"/>
    <w:rsid w:val="0069287A"/>
    <w:rsid w:val="006A4540"/>
    <w:rsid w:val="006A5BCD"/>
    <w:rsid w:val="006A6B37"/>
    <w:rsid w:val="006B3728"/>
    <w:rsid w:val="006C1A36"/>
    <w:rsid w:val="006C2F74"/>
    <w:rsid w:val="006C4E34"/>
    <w:rsid w:val="006C768E"/>
    <w:rsid w:val="006E4E77"/>
    <w:rsid w:val="006F7B93"/>
    <w:rsid w:val="00700DCA"/>
    <w:rsid w:val="00703467"/>
    <w:rsid w:val="007038F2"/>
    <w:rsid w:val="00703B57"/>
    <w:rsid w:val="00705DC8"/>
    <w:rsid w:val="0070681A"/>
    <w:rsid w:val="00715F12"/>
    <w:rsid w:val="00716A41"/>
    <w:rsid w:val="00725917"/>
    <w:rsid w:val="00730F60"/>
    <w:rsid w:val="00732E3F"/>
    <w:rsid w:val="00733781"/>
    <w:rsid w:val="0073768F"/>
    <w:rsid w:val="00746271"/>
    <w:rsid w:val="007574CD"/>
    <w:rsid w:val="00757697"/>
    <w:rsid w:val="0076217A"/>
    <w:rsid w:val="00762C0F"/>
    <w:rsid w:val="00762CC0"/>
    <w:rsid w:val="00762DF5"/>
    <w:rsid w:val="007649C9"/>
    <w:rsid w:val="00781780"/>
    <w:rsid w:val="00783A5B"/>
    <w:rsid w:val="007850B9"/>
    <w:rsid w:val="00787600"/>
    <w:rsid w:val="00792C29"/>
    <w:rsid w:val="00795663"/>
    <w:rsid w:val="007B1206"/>
    <w:rsid w:val="007B26F1"/>
    <w:rsid w:val="007B6DC3"/>
    <w:rsid w:val="007C6F96"/>
    <w:rsid w:val="007D01FE"/>
    <w:rsid w:val="007D5813"/>
    <w:rsid w:val="007E025F"/>
    <w:rsid w:val="007E079D"/>
    <w:rsid w:val="007E0AD7"/>
    <w:rsid w:val="007E4404"/>
    <w:rsid w:val="007E5BCA"/>
    <w:rsid w:val="007F11A6"/>
    <w:rsid w:val="007F5509"/>
    <w:rsid w:val="007F57A8"/>
    <w:rsid w:val="007F5E76"/>
    <w:rsid w:val="007F64D5"/>
    <w:rsid w:val="00810CE7"/>
    <w:rsid w:val="008115E9"/>
    <w:rsid w:val="0081397E"/>
    <w:rsid w:val="00814C64"/>
    <w:rsid w:val="00820A36"/>
    <w:rsid w:val="00823E7B"/>
    <w:rsid w:val="008259A4"/>
    <w:rsid w:val="00827E31"/>
    <w:rsid w:val="00827EB1"/>
    <w:rsid w:val="0083317D"/>
    <w:rsid w:val="00833687"/>
    <w:rsid w:val="00843796"/>
    <w:rsid w:val="00847588"/>
    <w:rsid w:val="00847C96"/>
    <w:rsid w:val="00852B12"/>
    <w:rsid w:val="0086090E"/>
    <w:rsid w:val="008665B9"/>
    <w:rsid w:val="00870B4E"/>
    <w:rsid w:val="00870BD0"/>
    <w:rsid w:val="00872C94"/>
    <w:rsid w:val="00876B1E"/>
    <w:rsid w:val="008870D6"/>
    <w:rsid w:val="008902BF"/>
    <w:rsid w:val="00892DF9"/>
    <w:rsid w:val="00894CDA"/>
    <w:rsid w:val="00894D46"/>
    <w:rsid w:val="00894E13"/>
    <w:rsid w:val="008967D6"/>
    <w:rsid w:val="008A011B"/>
    <w:rsid w:val="008A3F8B"/>
    <w:rsid w:val="008A5F28"/>
    <w:rsid w:val="008A6890"/>
    <w:rsid w:val="008B1663"/>
    <w:rsid w:val="008B2861"/>
    <w:rsid w:val="008B3618"/>
    <w:rsid w:val="008E010C"/>
    <w:rsid w:val="008E2300"/>
    <w:rsid w:val="008E4AF5"/>
    <w:rsid w:val="008E6090"/>
    <w:rsid w:val="008E6960"/>
    <w:rsid w:val="008F2FD4"/>
    <w:rsid w:val="008F4E5B"/>
    <w:rsid w:val="00900845"/>
    <w:rsid w:val="00900BC6"/>
    <w:rsid w:val="00901B3B"/>
    <w:rsid w:val="00901BBE"/>
    <w:rsid w:val="0090398C"/>
    <w:rsid w:val="009067E7"/>
    <w:rsid w:val="00906AC1"/>
    <w:rsid w:val="0090782A"/>
    <w:rsid w:val="00913B9C"/>
    <w:rsid w:val="009170D4"/>
    <w:rsid w:val="0092026B"/>
    <w:rsid w:val="00922C2F"/>
    <w:rsid w:val="00922EBD"/>
    <w:rsid w:val="00926745"/>
    <w:rsid w:val="0093158B"/>
    <w:rsid w:val="00933676"/>
    <w:rsid w:val="00933AB9"/>
    <w:rsid w:val="00934A51"/>
    <w:rsid w:val="0094034C"/>
    <w:rsid w:val="00943622"/>
    <w:rsid w:val="00951736"/>
    <w:rsid w:val="00951E82"/>
    <w:rsid w:val="00954660"/>
    <w:rsid w:val="00956B86"/>
    <w:rsid w:val="0096029F"/>
    <w:rsid w:val="00965DF0"/>
    <w:rsid w:val="00972911"/>
    <w:rsid w:val="0097438B"/>
    <w:rsid w:val="00975063"/>
    <w:rsid w:val="0098207F"/>
    <w:rsid w:val="0098523C"/>
    <w:rsid w:val="00991E94"/>
    <w:rsid w:val="00993E4D"/>
    <w:rsid w:val="0099550B"/>
    <w:rsid w:val="009A1AFB"/>
    <w:rsid w:val="009A237B"/>
    <w:rsid w:val="009A69EE"/>
    <w:rsid w:val="009B0442"/>
    <w:rsid w:val="009B2A6E"/>
    <w:rsid w:val="009C18AA"/>
    <w:rsid w:val="009D013E"/>
    <w:rsid w:val="009D0502"/>
    <w:rsid w:val="009D555F"/>
    <w:rsid w:val="009D7872"/>
    <w:rsid w:val="009E0B45"/>
    <w:rsid w:val="009E3E78"/>
    <w:rsid w:val="009E5ECE"/>
    <w:rsid w:val="009F0001"/>
    <w:rsid w:val="009F0CF8"/>
    <w:rsid w:val="009F2347"/>
    <w:rsid w:val="009F488A"/>
    <w:rsid w:val="009F66F1"/>
    <w:rsid w:val="009F745E"/>
    <w:rsid w:val="00A051ED"/>
    <w:rsid w:val="00A06233"/>
    <w:rsid w:val="00A10009"/>
    <w:rsid w:val="00A119FC"/>
    <w:rsid w:val="00A121A0"/>
    <w:rsid w:val="00A150CC"/>
    <w:rsid w:val="00A160E6"/>
    <w:rsid w:val="00A16AA1"/>
    <w:rsid w:val="00A20EDF"/>
    <w:rsid w:val="00A42AE8"/>
    <w:rsid w:val="00A4489F"/>
    <w:rsid w:val="00A523EE"/>
    <w:rsid w:val="00A53061"/>
    <w:rsid w:val="00A5321C"/>
    <w:rsid w:val="00A55735"/>
    <w:rsid w:val="00A56857"/>
    <w:rsid w:val="00A607B0"/>
    <w:rsid w:val="00A62653"/>
    <w:rsid w:val="00A63842"/>
    <w:rsid w:val="00A63892"/>
    <w:rsid w:val="00A77B3E"/>
    <w:rsid w:val="00A81F7F"/>
    <w:rsid w:val="00A83443"/>
    <w:rsid w:val="00A853CA"/>
    <w:rsid w:val="00A85F6C"/>
    <w:rsid w:val="00A86E49"/>
    <w:rsid w:val="00A92401"/>
    <w:rsid w:val="00A930A4"/>
    <w:rsid w:val="00A94995"/>
    <w:rsid w:val="00A96F55"/>
    <w:rsid w:val="00AA2B29"/>
    <w:rsid w:val="00AA4624"/>
    <w:rsid w:val="00AB0624"/>
    <w:rsid w:val="00AB14CB"/>
    <w:rsid w:val="00AB188B"/>
    <w:rsid w:val="00AB5193"/>
    <w:rsid w:val="00AB77AE"/>
    <w:rsid w:val="00AC1604"/>
    <w:rsid w:val="00AD37E0"/>
    <w:rsid w:val="00AD754C"/>
    <w:rsid w:val="00AF2A79"/>
    <w:rsid w:val="00AF580B"/>
    <w:rsid w:val="00AF736A"/>
    <w:rsid w:val="00B02921"/>
    <w:rsid w:val="00B04069"/>
    <w:rsid w:val="00B10B00"/>
    <w:rsid w:val="00B136EE"/>
    <w:rsid w:val="00B14F7A"/>
    <w:rsid w:val="00B20692"/>
    <w:rsid w:val="00B23F36"/>
    <w:rsid w:val="00B2548E"/>
    <w:rsid w:val="00B26338"/>
    <w:rsid w:val="00B3001F"/>
    <w:rsid w:val="00B311B3"/>
    <w:rsid w:val="00B3155D"/>
    <w:rsid w:val="00B33C61"/>
    <w:rsid w:val="00B40966"/>
    <w:rsid w:val="00B41234"/>
    <w:rsid w:val="00B44307"/>
    <w:rsid w:val="00B45295"/>
    <w:rsid w:val="00B52F96"/>
    <w:rsid w:val="00B65F35"/>
    <w:rsid w:val="00B666A6"/>
    <w:rsid w:val="00B75444"/>
    <w:rsid w:val="00B77AA0"/>
    <w:rsid w:val="00B77FE5"/>
    <w:rsid w:val="00B92086"/>
    <w:rsid w:val="00B9469A"/>
    <w:rsid w:val="00B94ADF"/>
    <w:rsid w:val="00B97D5B"/>
    <w:rsid w:val="00BA5F52"/>
    <w:rsid w:val="00BD06D6"/>
    <w:rsid w:val="00BD16D5"/>
    <w:rsid w:val="00BD518E"/>
    <w:rsid w:val="00BE1131"/>
    <w:rsid w:val="00BE1C8B"/>
    <w:rsid w:val="00BE3E18"/>
    <w:rsid w:val="00BE468E"/>
    <w:rsid w:val="00BF0E1B"/>
    <w:rsid w:val="00BF27AB"/>
    <w:rsid w:val="00BF371B"/>
    <w:rsid w:val="00BF4028"/>
    <w:rsid w:val="00C04C01"/>
    <w:rsid w:val="00C055B0"/>
    <w:rsid w:val="00C06E95"/>
    <w:rsid w:val="00C150DE"/>
    <w:rsid w:val="00C2341B"/>
    <w:rsid w:val="00C23B6B"/>
    <w:rsid w:val="00C24722"/>
    <w:rsid w:val="00C24F42"/>
    <w:rsid w:val="00C2662E"/>
    <w:rsid w:val="00C4078A"/>
    <w:rsid w:val="00C42862"/>
    <w:rsid w:val="00C44002"/>
    <w:rsid w:val="00C44D53"/>
    <w:rsid w:val="00C46C59"/>
    <w:rsid w:val="00C47580"/>
    <w:rsid w:val="00C51771"/>
    <w:rsid w:val="00C54D37"/>
    <w:rsid w:val="00C608EC"/>
    <w:rsid w:val="00C610B3"/>
    <w:rsid w:val="00C71B7A"/>
    <w:rsid w:val="00C760A0"/>
    <w:rsid w:val="00C82F52"/>
    <w:rsid w:val="00C8360D"/>
    <w:rsid w:val="00C87BED"/>
    <w:rsid w:val="00C91393"/>
    <w:rsid w:val="00C97F7B"/>
    <w:rsid w:val="00CA1EC3"/>
    <w:rsid w:val="00CA2A55"/>
    <w:rsid w:val="00CA55FB"/>
    <w:rsid w:val="00CA5D6F"/>
    <w:rsid w:val="00CA641F"/>
    <w:rsid w:val="00CB056F"/>
    <w:rsid w:val="00CB0A41"/>
    <w:rsid w:val="00CB4356"/>
    <w:rsid w:val="00CB4420"/>
    <w:rsid w:val="00CB4F39"/>
    <w:rsid w:val="00CC01FC"/>
    <w:rsid w:val="00CC5284"/>
    <w:rsid w:val="00CC7D40"/>
    <w:rsid w:val="00CD3666"/>
    <w:rsid w:val="00CD54EE"/>
    <w:rsid w:val="00CE2370"/>
    <w:rsid w:val="00CE3C99"/>
    <w:rsid w:val="00CE4806"/>
    <w:rsid w:val="00CE6CA5"/>
    <w:rsid w:val="00CF3925"/>
    <w:rsid w:val="00CF4CC1"/>
    <w:rsid w:val="00D026BB"/>
    <w:rsid w:val="00D038A7"/>
    <w:rsid w:val="00D03B78"/>
    <w:rsid w:val="00D06ED3"/>
    <w:rsid w:val="00D07E8E"/>
    <w:rsid w:val="00D10AEE"/>
    <w:rsid w:val="00D13971"/>
    <w:rsid w:val="00D16267"/>
    <w:rsid w:val="00D17874"/>
    <w:rsid w:val="00D252C7"/>
    <w:rsid w:val="00D2688E"/>
    <w:rsid w:val="00D2729E"/>
    <w:rsid w:val="00D27EB5"/>
    <w:rsid w:val="00D325B9"/>
    <w:rsid w:val="00D33FD9"/>
    <w:rsid w:val="00D3483F"/>
    <w:rsid w:val="00D4158C"/>
    <w:rsid w:val="00D415BF"/>
    <w:rsid w:val="00D45068"/>
    <w:rsid w:val="00D45819"/>
    <w:rsid w:val="00D46666"/>
    <w:rsid w:val="00D46777"/>
    <w:rsid w:val="00D537C0"/>
    <w:rsid w:val="00D55001"/>
    <w:rsid w:val="00D551A6"/>
    <w:rsid w:val="00D60265"/>
    <w:rsid w:val="00D604B2"/>
    <w:rsid w:val="00D62D2C"/>
    <w:rsid w:val="00D70F2E"/>
    <w:rsid w:val="00D72328"/>
    <w:rsid w:val="00D738DC"/>
    <w:rsid w:val="00D77DB0"/>
    <w:rsid w:val="00D80F43"/>
    <w:rsid w:val="00D851B7"/>
    <w:rsid w:val="00D86229"/>
    <w:rsid w:val="00D90950"/>
    <w:rsid w:val="00D914E5"/>
    <w:rsid w:val="00D925FC"/>
    <w:rsid w:val="00D940A7"/>
    <w:rsid w:val="00D9463E"/>
    <w:rsid w:val="00D96FA7"/>
    <w:rsid w:val="00DB2F88"/>
    <w:rsid w:val="00DB33F1"/>
    <w:rsid w:val="00DB4929"/>
    <w:rsid w:val="00DB5415"/>
    <w:rsid w:val="00DB7283"/>
    <w:rsid w:val="00DB754C"/>
    <w:rsid w:val="00DC08BF"/>
    <w:rsid w:val="00DC1423"/>
    <w:rsid w:val="00DC1FE3"/>
    <w:rsid w:val="00DC303A"/>
    <w:rsid w:val="00DD1DFE"/>
    <w:rsid w:val="00DD3D3A"/>
    <w:rsid w:val="00DD7A4E"/>
    <w:rsid w:val="00DE2E04"/>
    <w:rsid w:val="00DE3815"/>
    <w:rsid w:val="00DE3D9A"/>
    <w:rsid w:val="00DE52F3"/>
    <w:rsid w:val="00DE59B0"/>
    <w:rsid w:val="00DE7573"/>
    <w:rsid w:val="00DF0959"/>
    <w:rsid w:val="00DF4B2D"/>
    <w:rsid w:val="00E00573"/>
    <w:rsid w:val="00E066EB"/>
    <w:rsid w:val="00E069EA"/>
    <w:rsid w:val="00E077D2"/>
    <w:rsid w:val="00E10D39"/>
    <w:rsid w:val="00E14FE2"/>
    <w:rsid w:val="00E160AE"/>
    <w:rsid w:val="00E2167B"/>
    <w:rsid w:val="00E22204"/>
    <w:rsid w:val="00E25C3C"/>
    <w:rsid w:val="00E3062A"/>
    <w:rsid w:val="00E31794"/>
    <w:rsid w:val="00E322DF"/>
    <w:rsid w:val="00E37ACC"/>
    <w:rsid w:val="00E41983"/>
    <w:rsid w:val="00E45BE5"/>
    <w:rsid w:val="00E5031B"/>
    <w:rsid w:val="00E52468"/>
    <w:rsid w:val="00E52B24"/>
    <w:rsid w:val="00E5726F"/>
    <w:rsid w:val="00E63125"/>
    <w:rsid w:val="00E661B7"/>
    <w:rsid w:val="00E70703"/>
    <w:rsid w:val="00E716AD"/>
    <w:rsid w:val="00E7234B"/>
    <w:rsid w:val="00E7373F"/>
    <w:rsid w:val="00E778C0"/>
    <w:rsid w:val="00E81857"/>
    <w:rsid w:val="00E8217C"/>
    <w:rsid w:val="00E82517"/>
    <w:rsid w:val="00E827E1"/>
    <w:rsid w:val="00E8641E"/>
    <w:rsid w:val="00E86C43"/>
    <w:rsid w:val="00E87088"/>
    <w:rsid w:val="00E9000A"/>
    <w:rsid w:val="00E91CA2"/>
    <w:rsid w:val="00E95906"/>
    <w:rsid w:val="00E9787C"/>
    <w:rsid w:val="00E97904"/>
    <w:rsid w:val="00EA0C43"/>
    <w:rsid w:val="00EA2E1B"/>
    <w:rsid w:val="00EA2E62"/>
    <w:rsid w:val="00EA6017"/>
    <w:rsid w:val="00EB4760"/>
    <w:rsid w:val="00EC0D9E"/>
    <w:rsid w:val="00EC7159"/>
    <w:rsid w:val="00ED14DF"/>
    <w:rsid w:val="00ED7EC1"/>
    <w:rsid w:val="00EE103D"/>
    <w:rsid w:val="00EE333B"/>
    <w:rsid w:val="00EF6A53"/>
    <w:rsid w:val="00F11D21"/>
    <w:rsid w:val="00F1523B"/>
    <w:rsid w:val="00F20007"/>
    <w:rsid w:val="00F212D3"/>
    <w:rsid w:val="00F3005E"/>
    <w:rsid w:val="00F300C2"/>
    <w:rsid w:val="00F31FD8"/>
    <w:rsid w:val="00F323FD"/>
    <w:rsid w:val="00F32839"/>
    <w:rsid w:val="00F3406F"/>
    <w:rsid w:val="00F34AD1"/>
    <w:rsid w:val="00F3790E"/>
    <w:rsid w:val="00F4352E"/>
    <w:rsid w:val="00F43BC4"/>
    <w:rsid w:val="00F45758"/>
    <w:rsid w:val="00F51382"/>
    <w:rsid w:val="00F51F0F"/>
    <w:rsid w:val="00F56D36"/>
    <w:rsid w:val="00F60069"/>
    <w:rsid w:val="00F61205"/>
    <w:rsid w:val="00F624CC"/>
    <w:rsid w:val="00F75E3D"/>
    <w:rsid w:val="00F772FC"/>
    <w:rsid w:val="00F77646"/>
    <w:rsid w:val="00F77747"/>
    <w:rsid w:val="00F82A9B"/>
    <w:rsid w:val="00F83F8C"/>
    <w:rsid w:val="00F859AF"/>
    <w:rsid w:val="00F86477"/>
    <w:rsid w:val="00F91B92"/>
    <w:rsid w:val="00F92AB4"/>
    <w:rsid w:val="00F94FA1"/>
    <w:rsid w:val="00F95622"/>
    <w:rsid w:val="00F95C6B"/>
    <w:rsid w:val="00FA3BF9"/>
    <w:rsid w:val="00FA7B67"/>
    <w:rsid w:val="00FB25BA"/>
    <w:rsid w:val="00FC610C"/>
    <w:rsid w:val="00FC65ED"/>
    <w:rsid w:val="00FC6B16"/>
    <w:rsid w:val="00FD10DA"/>
    <w:rsid w:val="00FD2200"/>
    <w:rsid w:val="00FD3B3D"/>
    <w:rsid w:val="00FD6F8C"/>
    <w:rsid w:val="00FF2C47"/>
    <w:rsid w:val="00FF7E3C"/>
    <w:rsid w:val="19CD1D83"/>
    <w:rsid w:val="269F576E"/>
    <w:rsid w:val="2B6B5EC8"/>
    <w:rsid w:val="4A88BBF0"/>
    <w:rsid w:val="4D16C1F0"/>
    <w:rsid w:val="4D4862A3"/>
    <w:rsid w:val="54402EA3"/>
    <w:rsid w:val="55CEB5A6"/>
    <w:rsid w:val="561E2296"/>
    <w:rsid w:val="59276689"/>
    <w:rsid w:val="662BC143"/>
    <w:rsid w:val="6E7649D2"/>
    <w:rsid w:val="74F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953A7"/>
  <w15:docId w15:val="{B4DC3B7D-CE68-44E6-98C2-59D3E79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02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51"/>
    <w:pPr>
      <w:keepNext/>
      <w:widowControl w:val="0"/>
      <w:numPr>
        <w:ilvl w:val="1"/>
        <w:numId w:val="1"/>
      </w:numPr>
      <w:suppressLineNumbers/>
      <w:suppressAutoHyphens/>
      <w:spacing w:before="40" w:line="259" w:lineRule="auto"/>
      <w:ind w:left="850" w:hanging="856"/>
      <w:jc w:val="both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9A9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522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22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22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22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22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22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F9"/>
    <w:pPr>
      <w:keepNext/>
      <w:tabs>
        <w:tab w:val="center" w:pos="4536"/>
        <w:tab w:val="right" w:pos="9072"/>
      </w:tabs>
      <w:spacing w:before="1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92DF9"/>
    <w:rPr>
      <w:rFonts w:asciiTheme="minorHAnsi" w:eastAsiaTheme="minorHAnsi" w:hAnsiTheme="minorHAnsi" w:cstheme="minorBidi"/>
      <w:sz w:val="22"/>
      <w:szCs w:val="22"/>
      <w:lang w:val="sv-SE" w:eastAsia="en-US" w:bidi="ar-SA"/>
    </w:rPr>
  </w:style>
  <w:style w:type="character" w:customStyle="1" w:styleId="normaltextrun">
    <w:name w:val="normaltextrun"/>
    <w:basedOn w:val="DefaultParagraphFont"/>
    <w:rsid w:val="00CD3666"/>
  </w:style>
  <w:style w:type="character" w:customStyle="1" w:styleId="Heading2Char">
    <w:name w:val="Heading 2 Char"/>
    <w:basedOn w:val="DefaultParagraphFont"/>
    <w:link w:val="Heading2"/>
    <w:uiPriority w:val="9"/>
    <w:rsid w:val="00934A51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39A9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505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0502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F6D54"/>
    <w:pPr>
      <w:numPr>
        <w:numId w:val="0"/>
      </w:numPr>
      <w:outlineLvl w:val="9"/>
    </w:pPr>
    <w:rPr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9F6D5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eop">
    <w:name w:val="eop"/>
    <w:basedOn w:val="DefaultParagraphFont"/>
    <w:rsid w:val="00CD3666"/>
  </w:style>
  <w:style w:type="paragraph" w:customStyle="1" w:styleId="paragraph">
    <w:name w:val="paragraph"/>
    <w:basedOn w:val="Normal"/>
    <w:rsid w:val="00CD3666"/>
    <w:pPr>
      <w:spacing w:before="100" w:beforeAutospacing="1" w:after="100" w:afterAutospacing="1"/>
    </w:pPr>
    <w:rPr>
      <w:lang w:val="sv-SE" w:eastAsia="sv-SE"/>
    </w:rPr>
  </w:style>
  <w:style w:type="paragraph" w:styleId="ListParagraph">
    <w:name w:val="List Paragraph"/>
    <w:basedOn w:val="Normal"/>
    <w:link w:val="ListParagraphChar"/>
    <w:qFormat/>
    <w:rsid w:val="00EB4760"/>
    <w:pPr>
      <w:keepNext/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696E"/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cf01">
    <w:name w:val="cf01"/>
    <w:basedOn w:val="DefaultParagraphFont"/>
    <w:rsid w:val="005C1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11A0"/>
    <w:pPr>
      <w:spacing w:before="100" w:beforeAutospacing="1" w:after="100" w:afterAutospacing="1"/>
    </w:pPr>
    <w:rPr>
      <w:lang w:val="sv-SE" w:eastAsia="sv-SE"/>
    </w:rPr>
  </w:style>
  <w:style w:type="table" w:styleId="TableGrid">
    <w:name w:val="Table Grid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2862"/>
    <w:rPr>
      <w:b/>
      <w:bCs/>
    </w:rPr>
  </w:style>
  <w:style w:type="paragraph" w:styleId="BodyText">
    <w:name w:val="Body Text"/>
    <w:basedOn w:val="Normal"/>
    <w:link w:val="BodyTextChar"/>
    <w:qFormat/>
    <w:rsid w:val="002D4C18"/>
    <w:pPr>
      <w:spacing w:after="120" w:line="300" w:lineRule="atLeast"/>
    </w:pPr>
    <w:rPr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rsid w:val="002D4C18"/>
    <w:rPr>
      <w:sz w:val="24"/>
      <w:lang w:val="sv-SE"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2278CB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78CB"/>
    <w:rPr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89"/>
      <w:ind w:left="2365" w:right="2141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Grid0">
    <w:name w:val="Table Grid_0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F63AB"/>
    <w:pPr>
      <w:spacing w:before="100" w:beforeAutospacing="1" w:after="100" w:afterAutospacing="1"/>
    </w:pPr>
    <w:rPr>
      <w:lang w:val="sv-SE" w:eastAsia="sv-SE"/>
    </w:rPr>
  </w:style>
  <w:style w:type="paragraph" w:customStyle="1" w:styleId="Sub-ClauseText">
    <w:name w:val="Sub-Clause Text"/>
    <w:basedOn w:val="Normal"/>
    <w:rsid w:val="009E37A7"/>
    <w:pPr>
      <w:spacing w:before="120" w:after="120"/>
      <w:jc w:val="both"/>
    </w:pPr>
    <w:rPr>
      <w:spacing w:val="-4"/>
      <w:szCs w:val="20"/>
    </w:rPr>
  </w:style>
  <w:style w:type="numbering" w:customStyle="1" w:styleId="CurrentList1">
    <w:name w:val="Current List1"/>
    <w:uiPriority w:val="99"/>
    <w:rsid w:val="0014680F"/>
    <w:pPr>
      <w:numPr>
        <w:numId w:val="12"/>
      </w:numPr>
    </w:pPr>
  </w:style>
  <w:style w:type="numbering" w:customStyle="1" w:styleId="CurrentList2">
    <w:name w:val="Current List2"/>
    <w:uiPriority w:val="99"/>
    <w:rsid w:val="0014680F"/>
    <w:pPr>
      <w:numPr>
        <w:numId w:val="13"/>
      </w:numPr>
    </w:pPr>
  </w:style>
  <w:style w:type="numbering" w:customStyle="1" w:styleId="CurrentList3">
    <w:name w:val="Current List3"/>
    <w:uiPriority w:val="99"/>
    <w:rsid w:val="0014680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A1AFB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rsid w:val="004A620F"/>
    <w:pPr>
      <w:spacing w:after="100"/>
      <w:ind w:left="480"/>
    </w:pPr>
  </w:style>
  <w:style w:type="paragraph" w:customStyle="1" w:styleId="Strong1">
    <w:name w:val="Strong1"/>
    <w:qFormat/>
    <w:rsid w:val="00C51771"/>
    <w:rPr>
      <w:rFonts w:ascii="Arial" w:eastAsia="Arial" w:hAnsi="Arial" w:cs="Arial"/>
      <w:b/>
      <w:bCs/>
      <w:lang w:val="en-GB" w:eastAsia="en-GB"/>
    </w:rPr>
  </w:style>
  <w:style w:type="character" w:styleId="FootnoteReference">
    <w:name w:val="footnote reference"/>
    <w:uiPriority w:val="99"/>
    <w:unhideWhenUsed/>
    <w:rsid w:val="00C51771"/>
    <w:rPr>
      <w:vertAlign w:val="superscript"/>
    </w:rPr>
  </w:style>
  <w:style w:type="paragraph" w:styleId="FootnoteText">
    <w:name w:val="footnote text"/>
    <w:link w:val="Foot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1771"/>
    <w:rPr>
      <w:rFonts w:ascii="Arial" w:eastAsia="Arial" w:hAnsi="Arial" w:cs="Arial"/>
      <w:lang w:val="en-GB" w:eastAsia="en-GB"/>
    </w:rPr>
  </w:style>
  <w:style w:type="character" w:styleId="EndnoteReference">
    <w:name w:val="endnote reference"/>
    <w:uiPriority w:val="99"/>
    <w:unhideWhenUsed/>
    <w:rsid w:val="00C5177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51771"/>
    <w:rPr>
      <w:rFonts w:ascii="Arial" w:eastAsia="Arial" w:hAnsi="Arial" w:cs="Arial"/>
      <w:lang w:val="en-GB" w:eastAsia="en-GB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ldova@salarinternational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ldova@salarinternational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CAB9C1B366D4DA41C8AE2AF2DF427" ma:contentTypeVersion="9" ma:contentTypeDescription="Skapa ett nytt dokument." ma:contentTypeScope="" ma:versionID="101e0ed73422d105f0872407e243e175">
  <xsd:schema xmlns:xsd="http://www.w3.org/2001/XMLSchema" xmlns:xs="http://www.w3.org/2001/XMLSchema" xmlns:p="http://schemas.microsoft.com/office/2006/metadata/properties" xmlns:ns2="0d5b1cbc-65ce-4ca2-b6b2-d752af668868" targetNamespace="http://schemas.microsoft.com/office/2006/metadata/properties" ma:root="true" ma:fieldsID="df8b95c981965cf7750782cde65eae1f" ns2:_="">
    <xsd:import namespace="0d5b1cbc-65ce-4ca2-b6b2-d752af66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1cbc-65ce-4ca2-b6b2-d752af66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1ec198c-d8c7-4990-9d38-6e6c54e4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b1cbc-65ce-4ca2-b6b2-d752af66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5CAF0-0627-4C6A-91BE-00AE2567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b1cbc-65ce-4ca2-b6b2-d752af66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9D588-3340-4061-B8F0-2128E2621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4077F-38DB-48F3-8888-C02D6907A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AFA71-E73C-4614-8B81-6E360FAE835F}">
  <ds:schemaRefs>
    <ds:schemaRef ds:uri="http://schemas.microsoft.com/office/2006/metadata/properties"/>
    <ds:schemaRef ds:uri="http://schemas.microsoft.com/office/infopath/2007/PartnerControls"/>
    <ds:schemaRef ds:uri="0d5b1cbc-65ce-4ca2-b6b2-d752af6688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3134</Words>
  <Characters>19153</Characters>
  <Application>Microsoft Office Word</Application>
  <DocSecurity>0</DocSecurity>
  <Lines>709</Lines>
  <Paragraphs>420</Paragraphs>
  <ScaleCrop>false</ScaleCrop>
  <Company/>
  <LinksUpToDate>false</LinksUpToDate>
  <CharactersWithSpaces>21867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Kryshen</dc:creator>
  <cp:keywords/>
  <cp:lastModifiedBy>Ninicu Marin</cp:lastModifiedBy>
  <cp:revision>4</cp:revision>
  <dcterms:created xsi:type="dcterms:W3CDTF">2026-05-13T12:47:00Z</dcterms:created>
  <dcterms:modified xsi:type="dcterms:W3CDTF">2026-05-15T08:00:00Z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0x010100B73CAB9C1B366D4DA41C8AE2AF2DF427</vt:lpwstr>
  </property>
  <property fmtid="{D5CDD505-2E9C-101B-9397-08002B2CF9AE}" pid="3" name="MediaServiceImageTags">
    <vt:lpwstr/>
  </property>
</Properties>
</file>