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88D" w14:textId="478D4B38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  <w:t>ANNEX 1</w:t>
      </w:r>
    </w:p>
    <w:p w14:paraId="128B8A60" w14:textId="0E482EFD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</w:p>
    <w:p w14:paraId="023F5689" w14:textId="275C72CC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  <w:t>Financial Offer</w:t>
      </w:r>
    </w:p>
    <w:p w14:paraId="20ACB5E2" w14:textId="10C238DB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</w:p>
    <w:p w14:paraId="060BE5E1" w14:textId="1140EDD2" w:rsidR="006E626C" w:rsidRDefault="006E626C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  <w:t xml:space="preserve">Applicant  Name: </w:t>
      </w:r>
    </w:p>
    <w:p w14:paraId="1910E677" w14:textId="77777777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</w:p>
    <w:p w14:paraId="3A2C42EA" w14:textId="77777777" w:rsidR="00BF3B07" w:rsidRPr="00C0337F" w:rsidRDefault="00BF3B07" w:rsidP="00BF3B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napToGrid w:val="0"/>
          <w:sz w:val="20"/>
          <w:szCs w:val="20"/>
        </w:rPr>
      </w:pPr>
      <w:r w:rsidRPr="00C0337F">
        <w:rPr>
          <w:b/>
          <w:snapToGrid w:val="0"/>
          <w:sz w:val="20"/>
          <w:szCs w:val="20"/>
        </w:rPr>
        <w:t>Cost Breakdown per Deliverables</w:t>
      </w:r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50"/>
        <w:gridCol w:w="1350"/>
        <w:gridCol w:w="1530"/>
        <w:gridCol w:w="1980"/>
      </w:tblGrid>
      <w:tr w:rsidR="00BF3B07" w:rsidRPr="00C0337F" w14:paraId="4A2443DF" w14:textId="77777777" w:rsidTr="00974C05">
        <w:trPr>
          <w:trHeight w:val="311"/>
          <w:tblHeader/>
        </w:trPr>
        <w:tc>
          <w:tcPr>
            <w:tcW w:w="720" w:type="dxa"/>
          </w:tcPr>
          <w:p w14:paraId="4F0FCEBE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eastAsia="Times New Roman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050" w:type="dxa"/>
          </w:tcPr>
          <w:p w14:paraId="2C7B30A8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eastAsia="Times New Roman" w:cstheme="minorHAnsi"/>
                <w:b/>
                <w:sz w:val="20"/>
                <w:szCs w:val="20"/>
              </w:rPr>
              <w:t>Deliverables</w:t>
            </w:r>
          </w:p>
        </w:tc>
        <w:tc>
          <w:tcPr>
            <w:tcW w:w="1350" w:type="dxa"/>
          </w:tcPr>
          <w:p w14:paraId="0D066A83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ascii="Calibri" w:eastAsia="Calibri" w:hAnsi="Calibri"/>
                <w:b/>
                <w:snapToGrid w:val="0"/>
                <w:sz w:val="20"/>
                <w:szCs w:val="20"/>
              </w:rPr>
              <w:t>Percentage of Total Price</w:t>
            </w:r>
          </w:p>
        </w:tc>
        <w:tc>
          <w:tcPr>
            <w:tcW w:w="1530" w:type="dxa"/>
          </w:tcPr>
          <w:p w14:paraId="4A30D006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eastAsia="Times New Roman" w:cstheme="minorHAnsi"/>
                <w:b/>
                <w:sz w:val="20"/>
                <w:szCs w:val="20"/>
              </w:rPr>
              <w:t xml:space="preserve">Price </w:t>
            </w:r>
          </w:p>
          <w:p w14:paraId="4DA94501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eastAsia="Times New Roman" w:cstheme="minorHAnsi"/>
                <w:b/>
                <w:sz w:val="20"/>
                <w:szCs w:val="20"/>
              </w:rPr>
              <w:t>(Lump Sum, All Inclusive)</w:t>
            </w:r>
          </w:p>
        </w:tc>
        <w:tc>
          <w:tcPr>
            <w:tcW w:w="1980" w:type="dxa"/>
          </w:tcPr>
          <w:p w14:paraId="71C9147F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337F">
              <w:rPr>
                <w:rFonts w:eastAsia="Times New Roman" w:cstheme="minorHAnsi"/>
                <w:b/>
                <w:sz w:val="20"/>
                <w:szCs w:val="20"/>
              </w:rPr>
              <w:t>Delivery time/time period (if applicable)</w:t>
            </w:r>
          </w:p>
        </w:tc>
      </w:tr>
      <w:tr w:rsidR="00BF3B07" w:rsidRPr="00C0337F" w14:paraId="27D48182" w14:textId="77777777" w:rsidTr="00974C05">
        <w:trPr>
          <w:trHeight w:val="269"/>
        </w:trPr>
        <w:tc>
          <w:tcPr>
            <w:tcW w:w="720" w:type="dxa"/>
          </w:tcPr>
          <w:p w14:paraId="6C4CA60A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337F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38ABA47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4805B6">
              <w:rPr>
                <w:rStyle w:val="Strong"/>
                <w:rFonts w:cstheme="minorHAnsi"/>
              </w:rPr>
              <w:t xml:space="preserve">Presenting the draft scripts for </w:t>
            </w:r>
            <w:r>
              <w:rPr>
                <w:rStyle w:val="Strong"/>
                <w:rFonts w:cstheme="minorHAnsi"/>
              </w:rPr>
              <w:t>the</w:t>
            </w:r>
            <w:r w:rsidRPr="004805B6">
              <w:rPr>
                <w:rStyle w:val="Strong"/>
                <w:rFonts w:cstheme="minorHAnsi"/>
              </w:rPr>
              <w:t xml:space="preserve"> video </w:t>
            </w:r>
          </w:p>
        </w:tc>
        <w:tc>
          <w:tcPr>
            <w:tcW w:w="1350" w:type="dxa"/>
            <w:vAlign w:val="center"/>
          </w:tcPr>
          <w:p w14:paraId="0C191E52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C0337F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530" w:type="dxa"/>
            <w:vAlign w:val="center"/>
          </w:tcPr>
          <w:p w14:paraId="3AACF22D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D37FA4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07" w:rsidRPr="00C0337F" w14:paraId="6361B3F5" w14:textId="77777777" w:rsidTr="00974C05">
        <w:trPr>
          <w:trHeight w:val="269"/>
        </w:trPr>
        <w:tc>
          <w:tcPr>
            <w:tcW w:w="720" w:type="dxa"/>
          </w:tcPr>
          <w:p w14:paraId="1E792448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337F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8719FA5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4805B6">
              <w:rPr>
                <w:rStyle w:val="Strong"/>
                <w:rFonts w:cstheme="minorHAnsi"/>
              </w:rPr>
              <w:t xml:space="preserve">Presenting final script, based on the feedback provided by </w:t>
            </w:r>
            <w:r>
              <w:rPr>
                <w:rStyle w:val="Strong"/>
                <w:rFonts w:cstheme="minorHAnsi"/>
              </w:rPr>
              <w:t>ERIM</w:t>
            </w:r>
          </w:p>
        </w:tc>
        <w:tc>
          <w:tcPr>
            <w:tcW w:w="1350" w:type="dxa"/>
            <w:vAlign w:val="center"/>
          </w:tcPr>
          <w:p w14:paraId="2A064D57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C0337F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1530" w:type="dxa"/>
            <w:vAlign w:val="center"/>
          </w:tcPr>
          <w:p w14:paraId="4ED1D89F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7039AE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B07" w:rsidRPr="00C0337F" w14:paraId="2926D06F" w14:textId="77777777" w:rsidTr="00974C05">
        <w:trPr>
          <w:trHeight w:val="287"/>
        </w:trPr>
        <w:tc>
          <w:tcPr>
            <w:tcW w:w="720" w:type="dxa"/>
          </w:tcPr>
          <w:p w14:paraId="36419F7D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337F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E903DF4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4805B6">
              <w:rPr>
                <w:rStyle w:val="Strong"/>
                <w:rFonts w:cstheme="minorHAnsi"/>
              </w:rPr>
              <w:t>Presenting draft video for feedback</w:t>
            </w:r>
          </w:p>
        </w:tc>
        <w:tc>
          <w:tcPr>
            <w:tcW w:w="1350" w:type="dxa"/>
            <w:vAlign w:val="center"/>
          </w:tcPr>
          <w:p w14:paraId="4EA56E51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C0337F"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14:paraId="3B85E780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0EFDAF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07" w:rsidRPr="00C0337F" w14:paraId="2E7B9DD3" w14:textId="77777777" w:rsidTr="00974C05">
        <w:trPr>
          <w:trHeight w:val="350"/>
        </w:trPr>
        <w:tc>
          <w:tcPr>
            <w:tcW w:w="720" w:type="dxa"/>
          </w:tcPr>
          <w:p w14:paraId="5116EC18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0337F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050" w:type="dxa"/>
          </w:tcPr>
          <w:p w14:paraId="776C3047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4805B6">
              <w:rPr>
                <w:rStyle w:val="Strong"/>
                <w:rFonts w:cstheme="minorHAnsi"/>
              </w:rPr>
              <w:t>Presenting the final video spot, based on feedback received</w:t>
            </w:r>
          </w:p>
        </w:tc>
        <w:tc>
          <w:tcPr>
            <w:tcW w:w="1350" w:type="dxa"/>
            <w:vAlign w:val="center"/>
          </w:tcPr>
          <w:p w14:paraId="0C8512A6" w14:textId="77777777" w:rsidR="00BF3B07" w:rsidRPr="00C0337F" w:rsidRDefault="00BF3B07" w:rsidP="00974C05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C0337F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1530" w:type="dxa"/>
            <w:vAlign w:val="center"/>
          </w:tcPr>
          <w:p w14:paraId="682931B6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64F0EE" w14:textId="77777777" w:rsidR="00BF3B07" w:rsidRPr="00C0337F" w:rsidRDefault="00BF3B07" w:rsidP="0097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7626671" w14:textId="77777777" w:rsidR="00BF3B07" w:rsidRPr="00C0337F" w:rsidRDefault="00BF3B07" w:rsidP="00BF3B07">
      <w:pPr>
        <w:pStyle w:val="ListParagraph"/>
        <w:widowControl w:val="0"/>
        <w:overflowPunct w:val="0"/>
        <w:adjustRightInd w:val="0"/>
        <w:spacing w:before="60" w:after="60" w:line="240" w:lineRule="auto"/>
        <w:rPr>
          <w:b/>
          <w:snapToGrid w:val="0"/>
          <w:sz w:val="20"/>
          <w:szCs w:val="20"/>
        </w:rPr>
      </w:pPr>
    </w:p>
    <w:p w14:paraId="7500DF21" w14:textId="77777777" w:rsidR="00BF3B07" w:rsidRPr="00C0337F" w:rsidRDefault="00BF3B07" w:rsidP="00BF3B07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before="60" w:after="60" w:line="240" w:lineRule="auto"/>
        <w:rPr>
          <w:b/>
          <w:snapToGrid w:val="0"/>
          <w:sz w:val="20"/>
          <w:szCs w:val="20"/>
        </w:rPr>
      </w:pPr>
      <w:r w:rsidRPr="00C0337F">
        <w:rPr>
          <w:b/>
          <w:snapToGrid w:val="0"/>
          <w:sz w:val="20"/>
          <w:szCs w:val="20"/>
        </w:rPr>
        <w:t>Cost Breakdown by Resources</w:t>
      </w:r>
    </w:p>
    <w:p w14:paraId="3D7CEC46" w14:textId="77777777" w:rsidR="00BF3B07" w:rsidRPr="00C0337F" w:rsidRDefault="00BF3B07" w:rsidP="00BF3B07">
      <w:pPr>
        <w:spacing w:line="240" w:lineRule="auto"/>
        <w:jc w:val="both"/>
        <w:rPr>
          <w:snapToGrid w:val="0"/>
          <w:sz w:val="20"/>
          <w:szCs w:val="20"/>
        </w:rPr>
      </w:pPr>
      <w:r w:rsidRPr="00C0337F">
        <w:rPr>
          <w:snapToGrid w:val="0"/>
          <w:sz w:val="20"/>
          <w:szCs w:val="20"/>
        </w:rPr>
        <w:t xml:space="preserve">The Proposers are requested to provide the cost breakdown for the above given prices for each deliverable based on the following format. </w:t>
      </w:r>
      <w:r>
        <w:rPr>
          <w:snapToGrid w:val="0"/>
          <w:sz w:val="20"/>
          <w:szCs w:val="20"/>
        </w:rPr>
        <w:t>ERIM</w:t>
      </w:r>
      <w:r w:rsidRPr="00C0337F">
        <w:rPr>
          <w:snapToGrid w:val="0"/>
          <w:sz w:val="20"/>
          <w:szCs w:val="20"/>
        </w:rPr>
        <w:t xml:space="preserve"> shall use the cost breakdown in order to assess value for money as well as the calculation of price in the event that both parties agreed to add new deliverables</w:t>
      </w:r>
      <w:r>
        <w:rPr>
          <w:snapToGrid w:val="0"/>
          <w:sz w:val="20"/>
          <w:szCs w:val="20"/>
        </w:rPr>
        <w:t>.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080"/>
        <w:gridCol w:w="1170"/>
        <w:gridCol w:w="1080"/>
        <w:gridCol w:w="1080"/>
        <w:gridCol w:w="1260"/>
      </w:tblGrid>
      <w:tr w:rsidR="00BF3B07" w:rsidRPr="00C0337F" w14:paraId="79C9DB7A" w14:textId="77777777" w:rsidTr="00974C05">
        <w:trPr>
          <w:trHeight w:val="431"/>
          <w:tblHeader/>
        </w:trPr>
        <w:tc>
          <w:tcPr>
            <w:tcW w:w="720" w:type="dxa"/>
          </w:tcPr>
          <w:p w14:paraId="7C8119DC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240" w:type="dxa"/>
          </w:tcPr>
          <w:p w14:paraId="7FCA045B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080" w:type="dxa"/>
            <w:vAlign w:val="center"/>
          </w:tcPr>
          <w:p w14:paraId="04160595" w14:textId="77777777" w:rsidR="00BF3B07" w:rsidRPr="00C0337F" w:rsidRDefault="00BF3B07" w:rsidP="00974C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1170" w:type="dxa"/>
            <w:vAlign w:val="center"/>
          </w:tcPr>
          <w:p w14:paraId="5BE0D59B" w14:textId="77777777" w:rsidR="00BF3B07" w:rsidRPr="00C0337F" w:rsidRDefault="00BF3B07" w:rsidP="00974C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080" w:type="dxa"/>
            <w:vAlign w:val="center"/>
          </w:tcPr>
          <w:p w14:paraId="5B6F8927" w14:textId="77777777" w:rsidR="00BF3B07" w:rsidRPr="00C0337F" w:rsidRDefault="00BF3B07" w:rsidP="00974C05">
            <w:pPr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0337F">
              <w:rPr>
                <w:b/>
                <w:snapToGrid w:val="0"/>
                <w:sz w:val="20"/>
                <w:szCs w:val="20"/>
              </w:rPr>
              <w:t>Duration</w:t>
            </w:r>
          </w:p>
        </w:tc>
        <w:tc>
          <w:tcPr>
            <w:tcW w:w="1080" w:type="dxa"/>
            <w:vAlign w:val="center"/>
          </w:tcPr>
          <w:p w14:paraId="60ED81F2" w14:textId="77777777" w:rsidR="00BF3B07" w:rsidRPr="00C0337F" w:rsidRDefault="00BF3B07" w:rsidP="00974C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Unit Cost (MDL)</w:t>
            </w:r>
          </w:p>
        </w:tc>
        <w:tc>
          <w:tcPr>
            <w:tcW w:w="1260" w:type="dxa"/>
            <w:vAlign w:val="center"/>
          </w:tcPr>
          <w:p w14:paraId="129F0685" w14:textId="77777777" w:rsidR="00BF3B07" w:rsidRPr="00C0337F" w:rsidRDefault="00BF3B07" w:rsidP="00974C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Total Cost (MDL)</w:t>
            </w:r>
          </w:p>
        </w:tc>
      </w:tr>
      <w:tr w:rsidR="00BF3B07" w:rsidRPr="00C0337F" w14:paraId="2C4C81F0" w14:textId="77777777" w:rsidTr="00974C05">
        <w:trPr>
          <w:cantSplit/>
          <w:trHeight w:val="260"/>
        </w:trPr>
        <w:tc>
          <w:tcPr>
            <w:tcW w:w="720" w:type="dxa"/>
          </w:tcPr>
          <w:p w14:paraId="4FF5DC3E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10" w:type="dxa"/>
            <w:gridSpan w:val="6"/>
          </w:tcPr>
          <w:p w14:paraId="260F195B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337F">
              <w:rPr>
                <w:b/>
                <w:sz w:val="20"/>
                <w:szCs w:val="20"/>
              </w:rPr>
              <w:t>Personnel services</w:t>
            </w:r>
          </w:p>
        </w:tc>
      </w:tr>
      <w:tr w:rsidR="00BF3B07" w:rsidRPr="00C0337F" w14:paraId="32F76323" w14:textId="77777777" w:rsidTr="00974C05">
        <w:tc>
          <w:tcPr>
            <w:tcW w:w="720" w:type="dxa"/>
          </w:tcPr>
          <w:p w14:paraId="0E21B1C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1.1</w:t>
            </w:r>
          </w:p>
        </w:tc>
        <w:tc>
          <w:tcPr>
            <w:tcW w:w="3240" w:type="dxa"/>
          </w:tcPr>
          <w:p w14:paraId="3DADCDC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</w:t>
            </w:r>
          </w:p>
        </w:tc>
        <w:tc>
          <w:tcPr>
            <w:tcW w:w="1080" w:type="dxa"/>
          </w:tcPr>
          <w:p w14:paraId="4FBB09E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Per person</w:t>
            </w:r>
          </w:p>
        </w:tc>
        <w:tc>
          <w:tcPr>
            <w:tcW w:w="1170" w:type="dxa"/>
          </w:tcPr>
          <w:p w14:paraId="5577C3E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243D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246CE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333EA6" w14:textId="77777777" w:rsidR="00BF3B07" w:rsidRPr="00C0337F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3B07" w:rsidRPr="00C0337F" w14:paraId="691CE133" w14:textId="77777777" w:rsidTr="00974C05">
        <w:tc>
          <w:tcPr>
            <w:tcW w:w="720" w:type="dxa"/>
          </w:tcPr>
          <w:p w14:paraId="57A300DE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1.2</w:t>
            </w:r>
          </w:p>
        </w:tc>
        <w:tc>
          <w:tcPr>
            <w:tcW w:w="3240" w:type="dxa"/>
          </w:tcPr>
          <w:p w14:paraId="2365259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Cameraman </w:t>
            </w:r>
          </w:p>
        </w:tc>
        <w:tc>
          <w:tcPr>
            <w:tcW w:w="1080" w:type="dxa"/>
          </w:tcPr>
          <w:p w14:paraId="7A6086CB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Per person</w:t>
            </w:r>
          </w:p>
        </w:tc>
        <w:tc>
          <w:tcPr>
            <w:tcW w:w="1170" w:type="dxa"/>
          </w:tcPr>
          <w:p w14:paraId="642011A1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513F4E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F669CD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5CED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4D6609F7" w14:textId="77777777" w:rsidTr="00974C05">
        <w:tc>
          <w:tcPr>
            <w:tcW w:w="720" w:type="dxa"/>
          </w:tcPr>
          <w:p w14:paraId="13F84C3A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40" w:type="dxa"/>
          </w:tcPr>
          <w:p w14:paraId="379119B9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Other (specify)</w:t>
            </w:r>
          </w:p>
        </w:tc>
        <w:tc>
          <w:tcPr>
            <w:tcW w:w="1080" w:type="dxa"/>
          </w:tcPr>
          <w:p w14:paraId="5494A114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F4520E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FCE27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88C0F9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0172E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6A5A1826" w14:textId="77777777" w:rsidTr="00974C05">
        <w:tc>
          <w:tcPr>
            <w:tcW w:w="720" w:type="dxa"/>
          </w:tcPr>
          <w:p w14:paraId="5E9922CB" w14:textId="77777777" w:rsidR="00BF3B07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D8AC53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57B92E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67E91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64CC0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F2F6E3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F648F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7D1EF2F9" w14:textId="77777777" w:rsidTr="00974C05">
        <w:tc>
          <w:tcPr>
            <w:tcW w:w="720" w:type="dxa"/>
          </w:tcPr>
          <w:p w14:paraId="1D5D63A4" w14:textId="77777777" w:rsidR="00BF3B07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C44B6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8D19B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213C6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725F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859CF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3A3563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755AD55F" w14:textId="77777777" w:rsidTr="00974C05">
        <w:tc>
          <w:tcPr>
            <w:tcW w:w="720" w:type="dxa"/>
          </w:tcPr>
          <w:p w14:paraId="275C3CC2" w14:textId="77777777" w:rsidR="00BF3B07" w:rsidRPr="004C07BE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07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10" w:type="dxa"/>
            <w:gridSpan w:val="6"/>
          </w:tcPr>
          <w:p w14:paraId="1893B386" w14:textId="77777777" w:rsidR="00BF3B07" w:rsidRPr="004C07BE" w:rsidRDefault="00BF3B07" w:rsidP="00974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07BE">
              <w:rPr>
                <w:b/>
                <w:sz w:val="20"/>
                <w:szCs w:val="20"/>
              </w:rPr>
              <w:t>Operational costs</w:t>
            </w:r>
          </w:p>
        </w:tc>
      </w:tr>
      <w:tr w:rsidR="00BF3B07" w:rsidRPr="00C0337F" w14:paraId="190C0DF5" w14:textId="77777777" w:rsidTr="00974C05">
        <w:tc>
          <w:tcPr>
            <w:tcW w:w="720" w:type="dxa"/>
            <w:vMerge w:val="restart"/>
          </w:tcPr>
          <w:p w14:paraId="38B89878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BE1048" w14:textId="77777777" w:rsidR="00BF3B07" w:rsidRPr="004C07BE" w:rsidRDefault="00BF3B07" w:rsidP="00974C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C07BE">
              <w:rPr>
                <w:sz w:val="20"/>
                <w:szCs w:val="20"/>
              </w:rPr>
              <w:t>Renting of necessary equipment and supplies for video shooting (specify)</w:t>
            </w:r>
          </w:p>
        </w:tc>
        <w:tc>
          <w:tcPr>
            <w:tcW w:w="1080" w:type="dxa"/>
          </w:tcPr>
          <w:p w14:paraId="4283681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Per day</w:t>
            </w:r>
          </w:p>
        </w:tc>
        <w:tc>
          <w:tcPr>
            <w:tcW w:w="1170" w:type="dxa"/>
          </w:tcPr>
          <w:p w14:paraId="463CC3DF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331E7A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24E75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BD73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466D9B78" w14:textId="77777777" w:rsidTr="00974C05">
        <w:tc>
          <w:tcPr>
            <w:tcW w:w="720" w:type="dxa"/>
            <w:vMerge/>
          </w:tcPr>
          <w:p w14:paraId="7E803396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47FB8E" w14:textId="77777777" w:rsidR="00BF3B07" w:rsidRDefault="00BF3B07" w:rsidP="00974C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C07BE">
              <w:rPr>
                <w:sz w:val="20"/>
                <w:szCs w:val="20"/>
              </w:rPr>
              <w:t>Transportation costs (specify)</w:t>
            </w:r>
            <w:r>
              <w:rPr>
                <w:sz w:val="20"/>
                <w:szCs w:val="20"/>
              </w:rPr>
              <w:t xml:space="preserve">/ </w:t>
            </w:r>
          </w:p>
          <w:p w14:paraId="3F8A2604" w14:textId="77777777" w:rsidR="00BF3B07" w:rsidRPr="004C07BE" w:rsidRDefault="00BF3B07" w:rsidP="00974C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Traveling….</w:t>
            </w:r>
          </w:p>
        </w:tc>
        <w:tc>
          <w:tcPr>
            <w:tcW w:w="1080" w:type="dxa"/>
          </w:tcPr>
          <w:p w14:paraId="31E1407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Per km</w:t>
            </w:r>
          </w:p>
        </w:tc>
        <w:tc>
          <w:tcPr>
            <w:tcW w:w="1170" w:type="dxa"/>
          </w:tcPr>
          <w:p w14:paraId="29730D5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D3A2F7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B1FA7D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688E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74DC6B55" w14:textId="77777777" w:rsidTr="00974C05">
        <w:trPr>
          <w:trHeight w:val="287"/>
        </w:trPr>
        <w:tc>
          <w:tcPr>
            <w:tcW w:w="720" w:type="dxa"/>
            <w:vMerge/>
          </w:tcPr>
          <w:p w14:paraId="75F216DE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3643F67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4C07BE">
              <w:rPr>
                <w:sz w:val="20"/>
                <w:szCs w:val="20"/>
              </w:rPr>
              <w:t>Communication costs</w:t>
            </w:r>
          </w:p>
        </w:tc>
        <w:tc>
          <w:tcPr>
            <w:tcW w:w="1080" w:type="dxa"/>
          </w:tcPr>
          <w:p w14:paraId="17E13CE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E9D4F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9ADA6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BA35E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2C27F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1AEAA191" w14:textId="77777777" w:rsidTr="00974C05">
        <w:tc>
          <w:tcPr>
            <w:tcW w:w="720" w:type="dxa"/>
          </w:tcPr>
          <w:p w14:paraId="470E9CFB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A921D4" w14:textId="77777777" w:rsidR="00BF3B07" w:rsidRPr="004C07BE" w:rsidRDefault="00BF3B07" w:rsidP="00974C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C07BE">
              <w:rPr>
                <w:sz w:val="20"/>
                <w:szCs w:val="20"/>
              </w:rPr>
              <w:t xml:space="preserve">Management costs </w:t>
            </w:r>
          </w:p>
        </w:tc>
        <w:tc>
          <w:tcPr>
            <w:tcW w:w="1080" w:type="dxa"/>
          </w:tcPr>
          <w:p w14:paraId="718370EB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C0337F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</w:tcPr>
          <w:p w14:paraId="5A8FDC5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4978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36BA9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A004F2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6635AE25" w14:textId="77777777" w:rsidTr="00974C05">
        <w:tc>
          <w:tcPr>
            <w:tcW w:w="720" w:type="dxa"/>
          </w:tcPr>
          <w:p w14:paraId="3644EF80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A4C158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  <w:r w:rsidRPr="004C07BE">
              <w:rPr>
                <w:sz w:val="20"/>
                <w:szCs w:val="20"/>
              </w:rPr>
              <w:t>Other costs (specify)*</w:t>
            </w:r>
          </w:p>
        </w:tc>
        <w:tc>
          <w:tcPr>
            <w:tcW w:w="1080" w:type="dxa"/>
          </w:tcPr>
          <w:p w14:paraId="0499F72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AB772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05C5F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774AF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43804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5CE957A4" w14:textId="77777777" w:rsidTr="00974C05">
        <w:tc>
          <w:tcPr>
            <w:tcW w:w="720" w:type="dxa"/>
          </w:tcPr>
          <w:p w14:paraId="3466A03A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01DA24A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E7ED3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B833164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0A92FC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B5963A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511040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B07" w:rsidRPr="00C0337F" w14:paraId="408CDD25" w14:textId="77777777" w:rsidTr="00974C05">
        <w:tc>
          <w:tcPr>
            <w:tcW w:w="720" w:type="dxa"/>
          </w:tcPr>
          <w:p w14:paraId="7ED41A19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9FA2406" w14:textId="77777777" w:rsidR="00BF3B07" w:rsidRPr="004C07BE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4C63B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75AD48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859A11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46235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E85189" w14:textId="77777777" w:rsidR="00BF3B07" w:rsidRPr="00C0337F" w:rsidRDefault="00BF3B07" w:rsidP="00974C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70CAF40" w14:textId="77777777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</w:p>
    <w:p w14:paraId="3CAC3026" w14:textId="77777777" w:rsidR="00BF3B07" w:rsidRDefault="00BF3B07" w:rsidP="00BF3B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</w:p>
    <w:p w14:paraId="0464901F" w14:textId="77777777" w:rsidR="00710E60" w:rsidRDefault="00710E60"/>
    <w:sectPr w:rsidR="0071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E3C20"/>
    <w:multiLevelType w:val="hybridMultilevel"/>
    <w:tmpl w:val="24AAD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7F"/>
    <w:rsid w:val="00324326"/>
    <w:rsid w:val="006E626C"/>
    <w:rsid w:val="00710E60"/>
    <w:rsid w:val="00BF3B07"/>
    <w:rsid w:val="00CE1ABE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4795"/>
  <w15:chartTrackingRefBased/>
  <w15:docId w15:val="{F0E23D1C-4648-4824-872F-A646F82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3B07"/>
  </w:style>
  <w:style w:type="character" w:styleId="Strong">
    <w:name w:val="Strong"/>
    <w:basedOn w:val="DefaultParagraphFont"/>
    <w:uiPriority w:val="22"/>
    <w:qFormat/>
    <w:rsid w:val="00BF3B07"/>
    <w:rPr>
      <w:b/>
      <w:bCs/>
    </w:r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BF3B07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BF3B0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Pascal</dc:creator>
  <cp:keywords/>
  <dc:description/>
  <cp:lastModifiedBy>Irina Pascal</cp:lastModifiedBy>
  <cp:revision>3</cp:revision>
  <dcterms:created xsi:type="dcterms:W3CDTF">2022-10-05T08:41:00Z</dcterms:created>
  <dcterms:modified xsi:type="dcterms:W3CDTF">2022-10-05T08:42:00Z</dcterms:modified>
</cp:coreProperties>
</file>