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C52" w:rsidRPr="001D6837" w:rsidRDefault="00595CB1" w:rsidP="00B36C52">
      <w:pPr>
        <w:spacing w:after="0"/>
        <w:ind w:right="-56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SCRISOARE DE INVITAȚIE LICITAŢIE DESCHISĂ PENTRU </w:t>
      </w:r>
      <w:r w:rsidR="00B36C52" w:rsidRPr="001D6837">
        <w:rPr>
          <w:rFonts w:ascii="Times New Roman" w:hAnsi="Times New Roman" w:cs="Times New Roman"/>
          <w:b/>
          <w:sz w:val="24"/>
          <w:szCs w:val="24"/>
        </w:rPr>
        <w:t>ACHIZIȚIONAREA ȘI LIVRAREA ECHIPAMENTELOR ASISTIVE</w:t>
      </w:r>
    </w:p>
    <w:p w:rsidR="00E27A0D" w:rsidRDefault="00E27A0D" w:rsidP="00B36C52">
      <w:pPr>
        <w:spacing w:after="0"/>
        <w:ind w:right="-561"/>
        <w:jc w:val="center"/>
        <w:rPr>
          <w:rFonts w:ascii="Times New Roman" w:eastAsia="Times New Roman" w:hAnsi="Times New Roman" w:cs="Times New Roman"/>
          <w:b/>
          <w:sz w:val="24"/>
          <w:szCs w:val="24"/>
        </w:rPr>
      </w:pPr>
    </w:p>
    <w:p w:rsidR="00B36C52" w:rsidRPr="001D6837" w:rsidRDefault="00B36C52" w:rsidP="00B36C52">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 xml:space="preserve">Data publicării anunțului: </w:t>
      </w:r>
      <w:r w:rsidR="006C10CF">
        <w:rPr>
          <w:rFonts w:ascii="Times New Roman" w:eastAsia="Times New Roman" w:hAnsi="Times New Roman" w:cs="Times New Roman"/>
          <w:b/>
          <w:sz w:val="24"/>
          <w:szCs w:val="24"/>
        </w:rPr>
        <w:t>03.06.2026</w:t>
      </w:r>
    </w:p>
    <w:p w:rsidR="00B36C52" w:rsidRPr="001D6837" w:rsidRDefault="00B36C52" w:rsidP="00B36C52">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 xml:space="preserve">Termenul limită de prezentare a dosarului: </w:t>
      </w:r>
    </w:p>
    <w:p w:rsidR="00B36C52" w:rsidRPr="001D6837" w:rsidRDefault="00B36C52" w:rsidP="00B36C52">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Procedura de achiziție: Licitație Deschisă</w:t>
      </w:r>
    </w:p>
    <w:p w:rsidR="00B36C52" w:rsidRPr="001D6837" w:rsidRDefault="00B36C52" w:rsidP="00B36C52">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Selecție în baza costului</w:t>
      </w:r>
    </w:p>
    <w:p w:rsidR="00B36C52" w:rsidRPr="001D6837" w:rsidRDefault="00B36C52" w:rsidP="00B36C52">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Tipul contractului: Contract de prestare servicii</w:t>
      </w:r>
    </w:p>
    <w:p w:rsidR="00B36C52" w:rsidRPr="001D6837" w:rsidRDefault="00B36C52" w:rsidP="00B36C52">
      <w:pPr>
        <w:spacing w:after="0"/>
        <w:ind w:right="-561"/>
        <w:rPr>
          <w:rFonts w:ascii="Times New Roman" w:eastAsia="Times New Roman" w:hAnsi="Times New Roman" w:cs="Times New Roman"/>
          <w:b/>
          <w:sz w:val="24"/>
          <w:szCs w:val="24"/>
        </w:rPr>
      </w:pPr>
    </w:p>
    <w:p w:rsidR="00B36C52" w:rsidRPr="001D6837" w:rsidRDefault="00B36C52" w:rsidP="00B36C5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6837">
        <w:rPr>
          <w:rFonts w:ascii="Times New Roman" w:eastAsia="Times New Roman" w:hAnsi="Times New Roman" w:cs="Times New Roman"/>
          <w:b/>
          <w:sz w:val="24"/>
          <w:szCs w:val="24"/>
        </w:rPr>
        <w:t xml:space="preserve">Context: </w:t>
      </w:r>
    </w:p>
    <w:p w:rsidR="00B36C52" w:rsidRPr="001D6837" w:rsidRDefault="00B36C52" w:rsidP="008A022A">
      <w:pPr>
        <w:pStyle w:val="NormalWeb"/>
        <w:ind w:firstLine="720"/>
        <w:jc w:val="both"/>
        <w:rPr>
          <w:lang w:val="ro-MD"/>
        </w:rPr>
      </w:pPr>
      <w:r w:rsidRPr="001D6837">
        <w:rPr>
          <w:lang w:val="ro-MD"/>
        </w:rPr>
        <w:t xml:space="preserve">AOPPD „Eternitate” implementează </w:t>
      </w:r>
      <w:r w:rsidRPr="001D6837">
        <w:rPr>
          <w:b/>
          <w:color w:val="000000"/>
          <w:lang w:val="ro-MD"/>
        </w:rPr>
        <w:t>Serviciu Sustenabil: Energie Eficientă în Acțiune”</w:t>
      </w:r>
      <w:r w:rsidRPr="001D6837">
        <w:rPr>
          <w:color w:val="000000"/>
          <w:lang w:val="ro-MD"/>
        </w:rPr>
        <w:t xml:space="preserve">, finanțat de Uniunea Europeană în cadrul proiectului „Parteneriate locale pentru eficiența energetică în servicii sociale”, cofinanțat și implementat de Fundația Soros Moldova, în parteneriat cu I.P. </w:t>
      </w:r>
      <w:proofErr w:type="spellStart"/>
      <w:r w:rsidRPr="001D6837">
        <w:rPr>
          <w:color w:val="000000"/>
          <w:lang w:val="ro-MD"/>
        </w:rPr>
        <w:t>Keystone</w:t>
      </w:r>
      <w:proofErr w:type="spellEnd"/>
      <w:r w:rsidRPr="001D6837">
        <w:rPr>
          <w:color w:val="000000"/>
          <w:lang w:val="ro-MD"/>
        </w:rPr>
        <w:t xml:space="preserve"> Moldova și AO Fondul de Inovații Sociale din Moldova, în baza contractului de grant Nr. G 15298 din 25.03.2025. </w:t>
      </w:r>
      <w:r w:rsidRPr="001D6837">
        <w:rPr>
          <w:lang w:val="ro-MD"/>
        </w:rPr>
        <w:t xml:space="preserve">Proiectul vizează îmbunătățirea calității serviciilor sociale oferite în cadrul Complexului de servicii sociale „Pentru voi” prin măsuri de eficiență energetică și prin sprijinirea echipei serviciului în consolidarea competențelor profesionale, în conformitate cu standardele de calitate în vigoare. Proiectul vizează modernizarea Complexului de servicii sociale „Pentru voi” nu doar prin măsuri de eficiență energetică, ci și prin </w:t>
      </w:r>
      <w:r w:rsidRPr="001D6837">
        <w:rPr>
          <w:bCs/>
          <w:lang w:val="ro-MD"/>
        </w:rPr>
        <w:t>îmbunătățirea standardelor de îngrijire și a condițiilor de asistență</w:t>
      </w:r>
      <w:r w:rsidRPr="001D6837">
        <w:rPr>
          <w:lang w:val="ro-MD"/>
        </w:rPr>
        <w:t xml:space="preserve"> pentru beneficiari. În acest sens, sustenabilitatea serviciului este susținută prin dotarea cu </w:t>
      </w:r>
      <w:r w:rsidRPr="001D6837">
        <w:rPr>
          <w:bCs/>
          <w:lang w:val="ro-MD"/>
        </w:rPr>
        <w:t xml:space="preserve">echipamente </w:t>
      </w:r>
      <w:proofErr w:type="spellStart"/>
      <w:r w:rsidRPr="001D6837">
        <w:rPr>
          <w:bCs/>
          <w:lang w:val="ro-MD"/>
        </w:rPr>
        <w:t>asistive</w:t>
      </w:r>
      <w:proofErr w:type="spellEnd"/>
      <w:r w:rsidRPr="001D6837">
        <w:rPr>
          <w:bCs/>
          <w:lang w:val="ro-MD"/>
        </w:rPr>
        <w:t xml:space="preserve"> modern</w:t>
      </w:r>
      <w:r w:rsidRPr="001D6837">
        <w:rPr>
          <w:lang w:val="ro-MD"/>
        </w:rPr>
        <w:t>, care contribuie la creșterea calității vieții beneficiarilor și la optimizarea efortului depus de personalul angajat.</w:t>
      </w:r>
    </w:p>
    <w:p w:rsidR="00B36C52" w:rsidRPr="001D6837" w:rsidRDefault="00B36C52" w:rsidP="008A022A">
      <w:pPr>
        <w:spacing w:before="100" w:beforeAutospacing="1" w:after="100" w:afterAutospacing="1" w:line="240" w:lineRule="auto"/>
        <w:ind w:firstLine="720"/>
        <w:jc w:val="both"/>
        <w:rPr>
          <w:rFonts w:ascii="Times New Roman" w:eastAsia="Times New Roman" w:hAnsi="Times New Roman" w:cs="Times New Roman"/>
          <w:sz w:val="24"/>
          <w:szCs w:val="24"/>
        </w:rPr>
      </w:pPr>
      <w:r w:rsidRPr="00896610">
        <w:rPr>
          <w:rFonts w:ascii="Times New Roman" w:eastAsia="Times New Roman" w:hAnsi="Times New Roman" w:cs="Times New Roman"/>
          <w:sz w:val="24"/>
          <w:szCs w:val="24"/>
        </w:rPr>
        <w:t xml:space="preserve">Prezenta achiziție de echipamente (căzi de spălat capul gonflabile, saltele </w:t>
      </w:r>
      <w:proofErr w:type="spellStart"/>
      <w:r w:rsidRPr="00896610">
        <w:rPr>
          <w:rFonts w:ascii="Times New Roman" w:eastAsia="Times New Roman" w:hAnsi="Times New Roman" w:cs="Times New Roman"/>
          <w:sz w:val="24"/>
          <w:szCs w:val="24"/>
        </w:rPr>
        <w:t>antiescare</w:t>
      </w:r>
      <w:proofErr w:type="spellEnd"/>
      <w:r w:rsidRPr="00896610">
        <w:rPr>
          <w:rFonts w:ascii="Times New Roman" w:eastAsia="Times New Roman" w:hAnsi="Times New Roman" w:cs="Times New Roman"/>
          <w:sz w:val="24"/>
          <w:szCs w:val="24"/>
        </w:rPr>
        <w:t xml:space="preserve">, măsuțe pentru pat) are ca scop </w:t>
      </w:r>
      <w:r w:rsidRPr="00896610">
        <w:rPr>
          <w:rFonts w:ascii="Times New Roman" w:eastAsia="Times New Roman" w:hAnsi="Times New Roman" w:cs="Times New Roman"/>
          <w:bCs/>
          <w:sz w:val="24"/>
          <w:szCs w:val="24"/>
        </w:rPr>
        <w:t>alinierea serviciului la standardele de calitate în vigoare</w:t>
      </w:r>
      <w:r w:rsidRPr="00896610">
        <w:rPr>
          <w:rFonts w:ascii="Times New Roman" w:eastAsia="Times New Roman" w:hAnsi="Times New Roman" w:cs="Times New Roman"/>
          <w:sz w:val="24"/>
          <w:szCs w:val="24"/>
        </w:rPr>
        <w:t>, asigurând un mediu de îngrijire sigur, demn și eficient din punct de vedere operațional.</w:t>
      </w:r>
    </w:p>
    <w:p w:rsidR="00E27A0D" w:rsidRDefault="00595CB1">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DEPUNEREA DOSARULUI</w:t>
      </w:r>
    </w:p>
    <w:p w:rsidR="00E27A0D" w:rsidRDefault="00595C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Dosarul de aplicare va cuprinde:</w:t>
      </w:r>
    </w:p>
    <w:p w:rsidR="00E27A0D" w:rsidRDefault="00595CB1">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 financiară (Formularul A)</w:t>
      </w:r>
    </w:p>
    <w:p w:rsidR="00E27A0D" w:rsidRDefault="00595CB1">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Declarația pe propria răspundere cu privire la statutul ofertantului (Formularul B)</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Declarația pe propria răspundere cu privire la statutul ofertantului (conform Formularului B).</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Ofertele se depun în conformitate cu cerințele și procedura prevăzută în prezenta Instrucțiune pentru ofertanți, secțiunea: Cum și unde se depune dosarul.</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pregătirea dosarului, solicitanții vor examina în detaliu cererea de ofertă. Lipsa anumitor informații, esențiale pentru executarea contractului, solicitate în cererea de ofertă, pot duce la respingerea propunerii.</w:t>
      </w:r>
    </w:p>
    <w:p w:rsidR="00E27A0D" w:rsidRDefault="00E27A0D" w:rsidP="008A022A">
      <w:pPr>
        <w:spacing w:after="0" w:line="240" w:lineRule="auto"/>
        <w:ind w:firstLine="720"/>
        <w:jc w:val="both"/>
        <w:rPr>
          <w:rFonts w:ascii="Times New Roman" w:eastAsia="Times New Roman" w:hAnsi="Times New Roman" w:cs="Times New Roman"/>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costurile legate de pregătirea și/sau depunerea dosarului de aplicare vor fi suportate de către ofertanți, indiferent dacă propunerea lor a fost selectată sau nu.</w:t>
      </w:r>
    </w:p>
    <w:p w:rsidR="00E27A0D" w:rsidRDefault="00E27A0D" w:rsidP="008A022A">
      <w:pPr>
        <w:spacing w:after="0" w:line="240" w:lineRule="auto"/>
        <w:ind w:firstLine="720"/>
        <w:jc w:val="both"/>
        <w:rPr>
          <w:rFonts w:ascii="Times New Roman" w:eastAsia="Times New Roman" w:hAnsi="Times New Roman" w:cs="Times New Roman"/>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Dosarul va include următoarele documente:</w:t>
      </w:r>
    </w:p>
    <w:p w:rsidR="00E27A0D" w:rsidRDefault="00595CB1">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Copia Extrasului din Registrul de stat al persoanelor juridice;</w:t>
      </w:r>
    </w:p>
    <w:p w:rsidR="00E27A0D" w:rsidRDefault="00595CB1">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Oferta financiară (Formularul A) în MDL (fără TVA), după modelul indicat în caietul de sarcini. Se vor indica prețurile fără TVA (condiție obligatorie). Proiectul cade sub </w:t>
      </w:r>
      <w:r>
        <w:rPr>
          <w:rFonts w:ascii="Times New Roman" w:eastAsia="Times New Roman" w:hAnsi="Times New Roman" w:cs="Times New Roman"/>
          <w:sz w:val="24"/>
          <w:szCs w:val="24"/>
        </w:rPr>
        <w:lastRenderedPageBreak/>
        <w:t>incidența tratatelor internaționale, pentru aplicarea scutirilor impozitul pe venit, accize, taxe vamale, taxe pentru efectuarea procedurilor vamale, taxe pentru mărfurile care, în procesul utilizării, cauzează poluarea mediului, precum și aplicarea scutirii de TVA cu drept de deducere pentru mărfurile și serviciile destinate acestora. La semnarea contractului, AOPPD Eternitate va prezenta documentele confirmative;</w:t>
      </w:r>
    </w:p>
    <w:p w:rsidR="00E27A0D" w:rsidRDefault="00595CB1">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Declarația pe propria răspundere cu privire la statutul ofertantului (conform Formularului B).</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Cerințe</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După expedierea dosarului, vă rugăm să vă asigurați că acesta a fost recepționat de AOPPD Eternitate sub forma unui e-mail de confirmare. AOPPD Eternitate este responsabilă numai pentru dosarele confirmate.</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ofertant poate retrage, înlocui sau modifica oferta după ce a fost depusă în orice moment înainte de termenul limită pentru depunere, prin trimiterea unei notificări scrise către AOPPD Eternitate. Oferta înlocuită sau modificată trebuie depusă odată cu notificarea.</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notificările trebuie trimise respectând procedura depunerii ofertelor, marcându-le clar prin adăugarea cuvintelor „RETRAGERE” „SUBSTITUIRE” sau „MODIFICARE” la subiectul e-mailului.</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Ofertele vor fi valabile 30 zile din momentul depunerii.</w:t>
      </w:r>
    </w:p>
    <w:p w:rsidR="00E27A0D" w:rsidRDefault="00E27A0D">
      <w:pPr>
        <w:spacing w:after="0" w:line="240" w:lineRule="auto"/>
        <w:jc w:val="both"/>
        <w:rPr>
          <w:rFonts w:ascii="Times New Roman" w:eastAsia="Times New Roman" w:hAnsi="Times New Roman" w:cs="Times New Roman"/>
          <w:b/>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Fiecare ofertant va depune o singură ofertă de </w:t>
      </w:r>
      <w:proofErr w:type="spellStart"/>
      <w:r>
        <w:rPr>
          <w:rFonts w:ascii="Times New Roman" w:eastAsia="Times New Roman" w:hAnsi="Times New Roman" w:cs="Times New Roman"/>
          <w:sz w:val="24"/>
          <w:szCs w:val="24"/>
        </w:rPr>
        <w:t>preţ</w:t>
      </w:r>
      <w:proofErr w:type="spellEnd"/>
      <w:r>
        <w:rPr>
          <w:rFonts w:ascii="Times New Roman" w:eastAsia="Times New Roman" w:hAnsi="Times New Roman" w:cs="Times New Roman"/>
          <w:sz w:val="24"/>
          <w:szCs w:val="24"/>
        </w:rPr>
        <w:t xml:space="preserve">, care va </w:t>
      </w:r>
      <w:proofErr w:type="spellStart"/>
      <w:r>
        <w:rPr>
          <w:rFonts w:ascii="Times New Roman" w:eastAsia="Times New Roman" w:hAnsi="Times New Roman" w:cs="Times New Roman"/>
          <w:sz w:val="24"/>
          <w:szCs w:val="24"/>
        </w:rPr>
        <w:t>conţine</w:t>
      </w:r>
      <w:proofErr w:type="spellEnd"/>
      <w:r>
        <w:rPr>
          <w:rFonts w:ascii="Times New Roman" w:eastAsia="Times New Roman" w:hAnsi="Times New Roman" w:cs="Times New Roman"/>
          <w:sz w:val="24"/>
          <w:szCs w:val="24"/>
        </w:rPr>
        <w:t xml:space="preserve"> serviciile solicitate conform specificațiilor indicate. Toate ofertele prezentate cu încălcarea acestei reguli (articole cu specificații diferite de cele solicitate) vor fi respinse. </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Oferta de preț </w:t>
      </w:r>
    </w:p>
    <w:p w:rsidR="00E27A0D" w:rsidRDefault="00E27A0D">
      <w:pPr>
        <w:spacing w:after="0" w:line="240" w:lineRule="auto"/>
        <w:jc w:val="both"/>
        <w:rPr>
          <w:rFonts w:ascii="Times New Roman" w:eastAsia="Times New Roman" w:hAnsi="Times New Roman" w:cs="Times New Roman"/>
          <w:b/>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Ofertantul va utiliza Formularul A. Oferta financiară (disponibil pentru descărcare ca fișier separat). Oferta urmează a fi datată, semnată și ștampilată de către ofertant, ulterior scanată și expediată.</w:t>
      </w:r>
    </w:p>
    <w:p w:rsidR="00E27A0D" w:rsidRDefault="00595CB1" w:rsidP="008A022A">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Preţurile</w:t>
      </w:r>
      <w:proofErr w:type="spellEnd"/>
      <w:r>
        <w:rPr>
          <w:rFonts w:ascii="Times New Roman" w:eastAsia="Times New Roman" w:hAnsi="Times New Roman" w:cs="Times New Roman"/>
          <w:sz w:val="24"/>
          <w:szCs w:val="24"/>
        </w:rPr>
        <w:t xml:space="preserve"> nu vor include accize, impozit pe venit, precum și aplicarea scutirii de TVA cu drept de deducere, în conformitate cu Hotărârea Guvernului nr. 246 din 08.04.2010 și art. 104, lit. c) din Codul Fiscal. </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Documentele justificative vor fi prezentate companiei câștigătoare la semnarea contractului.</w:t>
      </w:r>
    </w:p>
    <w:p w:rsidR="00E27A0D" w:rsidRDefault="00595CB1" w:rsidP="008A022A">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Preţurile</w:t>
      </w:r>
      <w:proofErr w:type="spellEnd"/>
      <w:r>
        <w:rPr>
          <w:rFonts w:ascii="Times New Roman" w:eastAsia="Times New Roman" w:hAnsi="Times New Roman" w:cs="Times New Roman"/>
          <w:sz w:val="24"/>
          <w:szCs w:val="24"/>
        </w:rPr>
        <w:t xml:space="preserve"> vor fi indicate în Lei moldovenești(MDL), la cota TVA 0%.</w:t>
      </w:r>
    </w:p>
    <w:p w:rsidR="006C10CF" w:rsidRDefault="006C10CF" w:rsidP="008A022A">
      <w:pPr>
        <w:spacing w:after="0" w:line="240" w:lineRule="auto"/>
        <w:ind w:firstLine="720"/>
        <w:jc w:val="both"/>
        <w:rPr>
          <w:rFonts w:ascii="Times New Roman" w:eastAsia="Times New Roman" w:hAnsi="Times New Roman" w:cs="Times New Roman"/>
          <w:sz w:val="24"/>
          <w:szCs w:val="24"/>
        </w:rPr>
      </w:pPr>
    </w:p>
    <w:p w:rsidR="006C10CF" w:rsidRPr="006C10CF" w:rsidRDefault="006C10CF" w:rsidP="008A022A">
      <w:pPr>
        <w:spacing w:after="0" w:line="240" w:lineRule="auto"/>
        <w:ind w:firstLine="720"/>
        <w:jc w:val="both"/>
        <w:rPr>
          <w:rFonts w:ascii="Times New Roman" w:eastAsia="Times New Roman" w:hAnsi="Times New Roman" w:cs="Times New Roman"/>
          <w:sz w:val="24"/>
          <w:szCs w:val="24"/>
        </w:rPr>
      </w:pPr>
    </w:p>
    <w:p w:rsidR="006C10CF" w:rsidRDefault="006C10CF" w:rsidP="006C10CF">
      <w:pPr>
        <w:pStyle w:val="BodyText"/>
        <w:spacing w:after="0" w:line="240" w:lineRule="auto"/>
        <w:jc w:val="both"/>
        <w:rPr>
          <w:rStyle w:val="Hyperlink"/>
          <w:rFonts w:ascii="Times New Roman" w:hAnsi="Times New Roman" w:cs="Times New Roman"/>
          <w:b/>
          <w:color w:val="000000" w:themeColor="text1"/>
          <w:sz w:val="24"/>
          <w:szCs w:val="24"/>
          <w:lang w:val="ro-RO"/>
        </w:rPr>
      </w:pPr>
      <w:r w:rsidRPr="006C10CF">
        <w:rPr>
          <w:rFonts w:ascii="Times New Roman" w:hAnsi="Times New Roman" w:cs="Times New Roman"/>
          <w:color w:val="000000" w:themeColor="text1"/>
          <w:sz w:val="24"/>
          <w:szCs w:val="24"/>
          <w:lang w:val="ro-RO"/>
        </w:rPr>
        <w:t>Dosarul de aplicare va fi transmis prin e-mail, la următoarea adresă:</w:t>
      </w:r>
      <w:r w:rsidRPr="006C10CF">
        <w:rPr>
          <w:rFonts w:ascii="Times New Roman" w:hAnsi="Times New Roman" w:cs="Times New Roman"/>
          <w:sz w:val="24"/>
          <w:szCs w:val="24"/>
          <w:lang w:val="ro-RO"/>
        </w:rPr>
        <w:t xml:space="preserve"> </w:t>
      </w:r>
      <w:hyperlink r:id="rId8" w:history="1">
        <w:r w:rsidRPr="006C10CF">
          <w:rPr>
            <w:rStyle w:val="Hyperlink"/>
            <w:rFonts w:ascii="Times New Roman" w:hAnsi="Times New Roman" w:cs="Times New Roman"/>
            <w:sz w:val="24"/>
            <w:szCs w:val="24"/>
            <w:lang w:val="ro-RO"/>
          </w:rPr>
          <w:t>ludmila.jalba@gmail.com</w:t>
        </w:r>
      </w:hyperlink>
      <w:r w:rsidRPr="006C10CF">
        <w:rPr>
          <w:rFonts w:ascii="Times New Roman" w:hAnsi="Times New Roman" w:cs="Times New Roman"/>
          <w:sz w:val="24"/>
          <w:szCs w:val="24"/>
          <w:lang w:val="ro-RO"/>
        </w:rPr>
        <w:t xml:space="preserve"> </w:t>
      </w:r>
      <w:r w:rsidRPr="006C10CF">
        <w:rPr>
          <w:rStyle w:val="Hyperlink"/>
          <w:rFonts w:ascii="Times New Roman" w:hAnsi="Times New Roman" w:cs="Times New Roman"/>
          <w:color w:val="000000" w:themeColor="text1"/>
          <w:sz w:val="24"/>
          <w:szCs w:val="24"/>
          <w:lang w:val="ro-RO"/>
        </w:rPr>
        <w:t xml:space="preserve">  cu menți</w:t>
      </w:r>
      <w:r w:rsidR="00EA1BC6">
        <w:rPr>
          <w:rStyle w:val="Hyperlink"/>
          <w:rFonts w:ascii="Times New Roman" w:hAnsi="Times New Roman" w:cs="Times New Roman"/>
          <w:color w:val="000000" w:themeColor="text1"/>
          <w:sz w:val="24"/>
          <w:szCs w:val="24"/>
          <w:lang w:val="ro-RO"/>
        </w:rPr>
        <w:t>u</w:t>
      </w:r>
      <w:r w:rsidRPr="006C10CF">
        <w:rPr>
          <w:rStyle w:val="Hyperlink"/>
          <w:rFonts w:ascii="Times New Roman" w:hAnsi="Times New Roman" w:cs="Times New Roman"/>
          <w:color w:val="000000" w:themeColor="text1"/>
          <w:sz w:val="24"/>
          <w:szCs w:val="24"/>
          <w:lang w:val="ro-RO"/>
        </w:rPr>
        <w:t xml:space="preserve">nea </w:t>
      </w:r>
      <w:bookmarkStart w:id="0" w:name="_Hlk231398260"/>
      <w:r w:rsidRPr="006C10CF">
        <w:rPr>
          <w:rStyle w:val="Hyperlink"/>
          <w:rFonts w:ascii="Times New Roman" w:hAnsi="Times New Roman" w:cs="Times New Roman"/>
          <w:b/>
          <w:color w:val="000000" w:themeColor="text1"/>
          <w:sz w:val="24"/>
          <w:szCs w:val="24"/>
          <w:lang w:val="ro-RO"/>
        </w:rPr>
        <w:t xml:space="preserve">Ofertă </w:t>
      </w:r>
      <w:r>
        <w:rPr>
          <w:rStyle w:val="Hyperlink"/>
          <w:rFonts w:ascii="Times New Roman" w:hAnsi="Times New Roman" w:cs="Times New Roman"/>
          <w:b/>
          <w:color w:val="000000" w:themeColor="text1"/>
          <w:sz w:val="24"/>
          <w:szCs w:val="24"/>
          <w:lang w:val="ro-RO"/>
        </w:rPr>
        <w:t xml:space="preserve">Echipament </w:t>
      </w:r>
      <w:bookmarkEnd w:id="0"/>
    </w:p>
    <w:p w:rsidR="006C10CF" w:rsidRPr="006C10CF" w:rsidRDefault="006C10CF" w:rsidP="006C10CF">
      <w:pPr>
        <w:pStyle w:val="BodyText"/>
        <w:spacing w:after="0" w:line="240" w:lineRule="auto"/>
        <w:jc w:val="both"/>
        <w:rPr>
          <w:rFonts w:ascii="Times New Roman" w:hAnsi="Times New Roman" w:cs="Times New Roman"/>
          <w:color w:val="000000" w:themeColor="text1"/>
          <w:sz w:val="24"/>
          <w:szCs w:val="24"/>
          <w:lang w:val="ro-RO"/>
        </w:rPr>
      </w:pPr>
      <w:r w:rsidRPr="006C10CF">
        <w:rPr>
          <w:rFonts w:ascii="Times New Roman" w:hAnsi="Times New Roman" w:cs="Times New Roman"/>
          <w:color w:val="000000" w:themeColor="text1"/>
          <w:sz w:val="24"/>
          <w:szCs w:val="24"/>
          <w:lang w:val="ro-RO"/>
        </w:rPr>
        <w:t>Ofertele, precum și toată corespondența cu ofertantul va fi în limba română.</w:t>
      </w:r>
    </w:p>
    <w:p w:rsidR="006C10CF" w:rsidRPr="006C10CF" w:rsidRDefault="006C10CF" w:rsidP="006C10CF">
      <w:pPr>
        <w:pStyle w:val="BodyText"/>
        <w:spacing w:before="120" w:line="240" w:lineRule="auto"/>
        <w:jc w:val="both"/>
        <w:rPr>
          <w:rFonts w:ascii="Times New Roman" w:hAnsi="Times New Roman" w:cs="Times New Roman"/>
          <w:b/>
          <w:bCs/>
          <w:color w:val="000000" w:themeColor="text1"/>
          <w:sz w:val="24"/>
          <w:szCs w:val="24"/>
          <w:lang w:val="ro-RO"/>
        </w:rPr>
      </w:pPr>
      <w:r w:rsidRPr="006C10CF">
        <w:rPr>
          <w:rFonts w:ascii="Times New Roman" w:hAnsi="Times New Roman" w:cs="Times New Roman"/>
          <w:b/>
          <w:bCs/>
          <w:color w:val="000000" w:themeColor="text1"/>
          <w:sz w:val="24"/>
          <w:szCs w:val="24"/>
          <w:lang w:val="ro-RO"/>
        </w:rPr>
        <w:t xml:space="preserve">Termen-limită de depunere: </w:t>
      </w:r>
      <w:bookmarkStart w:id="1" w:name="_GoBack"/>
      <w:r>
        <w:rPr>
          <w:rFonts w:ascii="Times New Roman" w:hAnsi="Times New Roman" w:cs="Times New Roman"/>
          <w:b/>
          <w:bCs/>
          <w:color w:val="000000" w:themeColor="text1"/>
          <w:sz w:val="24"/>
          <w:szCs w:val="24"/>
          <w:lang w:val="ro-RO"/>
        </w:rPr>
        <w:t xml:space="preserve">17 </w:t>
      </w:r>
      <w:r w:rsidRPr="006C10CF">
        <w:rPr>
          <w:rFonts w:ascii="Times New Roman" w:hAnsi="Times New Roman" w:cs="Times New Roman"/>
          <w:b/>
          <w:bCs/>
          <w:color w:val="000000" w:themeColor="text1"/>
          <w:sz w:val="24"/>
          <w:szCs w:val="24"/>
          <w:lang w:val="ro-RO"/>
        </w:rPr>
        <w:t>iunie 2026 11:00 EET.</w:t>
      </w:r>
    </w:p>
    <w:bookmarkEnd w:id="1"/>
    <w:p w:rsidR="006C10CF" w:rsidRPr="006C10CF" w:rsidRDefault="006C10CF" w:rsidP="006C10CF">
      <w:pPr>
        <w:pStyle w:val="NormalWeb"/>
        <w:shd w:val="clear" w:color="auto" w:fill="FFFFFF"/>
        <w:spacing w:before="0" w:beforeAutospacing="0"/>
        <w:rPr>
          <w:b/>
          <w:bCs/>
        </w:rPr>
      </w:pPr>
      <w:r w:rsidRPr="006C10CF">
        <w:rPr>
          <w:rStyle w:val="Strong"/>
        </w:rPr>
        <w:t> </w:t>
      </w:r>
      <w:proofErr w:type="spellStart"/>
      <w:r w:rsidRPr="006C10CF">
        <w:rPr>
          <w:rStyle w:val="Strong"/>
        </w:rPr>
        <w:t>Dacă</w:t>
      </w:r>
      <w:proofErr w:type="spellEnd"/>
      <w:r w:rsidRPr="006C10CF">
        <w:rPr>
          <w:rStyle w:val="Strong"/>
        </w:rPr>
        <w:t xml:space="preserve"> </w:t>
      </w:r>
      <w:proofErr w:type="spellStart"/>
      <w:r w:rsidRPr="006C10CF">
        <w:rPr>
          <w:rStyle w:val="Strong"/>
        </w:rPr>
        <w:t>dosarele</w:t>
      </w:r>
      <w:proofErr w:type="spellEnd"/>
      <w:r w:rsidRPr="006C10CF">
        <w:rPr>
          <w:rStyle w:val="Strong"/>
        </w:rPr>
        <w:t xml:space="preserve"> sunt incomplete </w:t>
      </w:r>
      <w:proofErr w:type="spellStart"/>
      <w:r w:rsidRPr="006C10CF">
        <w:rPr>
          <w:rStyle w:val="Strong"/>
        </w:rPr>
        <w:t>sau</w:t>
      </w:r>
      <w:proofErr w:type="spellEnd"/>
      <w:r w:rsidRPr="006C10CF">
        <w:rPr>
          <w:rStyle w:val="Strong"/>
        </w:rPr>
        <w:t xml:space="preserve"> </w:t>
      </w:r>
      <w:proofErr w:type="spellStart"/>
      <w:r w:rsidRPr="006C10CF">
        <w:rPr>
          <w:rStyle w:val="Strong"/>
        </w:rPr>
        <w:t>depuse</w:t>
      </w:r>
      <w:proofErr w:type="spellEnd"/>
      <w:r w:rsidRPr="006C10CF">
        <w:rPr>
          <w:rStyle w:val="Strong"/>
        </w:rPr>
        <w:t xml:space="preserve"> </w:t>
      </w:r>
      <w:proofErr w:type="spellStart"/>
      <w:r w:rsidRPr="006C10CF">
        <w:rPr>
          <w:rStyle w:val="Strong"/>
        </w:rPr>
        <w:t>după</w:t>
      </w:r>
      <w:proofErr w:type="spellEnd"/>
      <w:r w:rsidRPr="006C10CF">
        <w:rPr>
          <w:rStyle w:val="Strong"/>
        </w:rPr>
        <w:t xml:space="preserve"> </w:t>
      </w:r>
      <w:proofErr w:type="spellStart"/>
      <w:r w:rsidRPr="006C10CF">
        <w:rPr>
          <w:rStyle w:val="Strong"/>
        </w:rPr>
        <w:t>termenul</w:t>
      </w:r>
      <w:proofErr w:type="spellEnd"/>
      <w:r w:rsidRPr="006C10CF">
        <w:rPr>
          <w:rStyle w:val="Strong"/>
        </w:rPr>
        <w:t xml:space="preserve"> </w:t>
      </w:r>
      <w:proofErr w:type="spellStart"/>
      <w:r w:rsidRPr="006C10CF">
        <w:rPr>
          <w:rStyle w:val="Strong"/>
        </w:rPr>
        <w:t>limită</w:t>
      </w:r>
      <w:proofErr w:type="spellEnd"/>
      <w:r w:rsidRPr="006C10CF">
        <w:rPr>
          <w:rStyle w:val="Strong"/>
        </w:rPr>
        <w:t xml:space="preserve">, </w:t>
      </w:r>
      <w:proofErr w:type="spellStart"/>
      <w:r w:rsidRPr="006C10CF">
        <w:rPr>
          <w:rStyle w:val="Strong"/>
        </w:rPr>
        <w:t>acestea</w:t>
      </w:r>
      <w:proofErr w:type="spellEnd"/>
      <w:r w:rsidRPr="006C10CF">
        <w:rPr>
          <w:rStyle w:val="Strong"/>
        </w:rPr>
        <w:t xml:space="preserve"> nu </w:t>
      </w:r>
      <w:proofErr w:type="spellStart"/>
      <w:r w:rsidRPr="006C10CF">
        <w:rPr>
          <w:rStyle w:val="Strong"/>
        </w:rPr>
        <w:t>vor</w:t>
      </w:r>
      <w:proofErr w:type="spellEnd"/>
      <w:r w:rsidRPr="006C10CF">
        <w:rPr>
          <w:rStyle w:val="Strong"/>
        </w:rPr>
        <w:t xml:space="preserve"> fi </w:t>
      </w:r>
      <w:proofErr w:type="spellStart"/>
      <w:r w:rsidRPr="006C10CF">
        <w:rPr>
          <w:rStyle w:val="Strong"/>
        </w:rPr>
        <w:t>examinate</w:t>
      </w:r>
      <w:proofErr w:type="spellEnd"/>
      <w:r w:rsidRPr="006C10CF">
        <w:rPr>
          <w:rStyle w:val="Strong"/>
        </w:rPr>
        <w:t>.</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Evaluarea ofertelor</w:t>
      </w:r>
    </w:p>
    <w:p w:rsidR="00E27A0D" w:rsidRDefault="00595C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dosarelor va fi realizată conform următoarelor etape:</w:t>
      </w:r>
    </w:p>
    <w:p w:rsidR="00E27A0D" w:rsidRDefault="00595CB1">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furnizorilor în raport cu criteriile de pre-calificare enunțate și analiza ofertelor conform specificațiilor solicitate, inclusiv verificarea conformității cu cererea de oferte.</w:t>
      </w:r>
    </w:p>
    <w:p w:rsidR="00E27A0D" w:rsidRDefault="00595CB1">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Evaluarea ofertelor financiare.</w:t>
      </w:r>
    </w:p>
    <w:p w:rsidR="00E27A0D" w:rsidRDefault="00595C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Comisia de Achiziții va verifica corespunderea pentru fiecare ofertant la următoarele aspecte:</w:t>
      </w:r>
    </w:p>
    <w:p w:rsidR="00E27A0D" w:rsidRDefault="00595CB1">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Ofertanții corespund criteriilor de pre-calificare, iar setul de documente este complet.</w:t>
      </w:r>
    </w:p>
    <w:p w:rsidR="00E27A0D" w:rsidRDefault="00595CB1">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în care vor fi identificate neclarități minore în documentele recepționate, AOPPD Eternitate, va informa ofertantul și va solicita ca acestea să fie eliminate/clarificate.</w:t>
      </w:r>
    </w:p>
    <w:p w:rsidR="00E27A0D" w:rsidRDefault="00595CB1">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 acestora va fi verificată pentru a stabili dacă aceasta este completă în ceea ce privește cerințele minime de conformitate.</w:t>
      </w:r>
    </w:p>
    <w:p w:rsidR="00E27A0D" w:rsidRDefault="00E27A0D">
      <w:pPr>
        <w:spacing w:after="0" w:line="240" w:lineRule="auto"/>
        <w:ind w:left="720"/>
        <w:jc w:val="both"/>
        <w:rPr>
          <w:rFonts w:ascii="Times New Roman" w:eastAsia="Times New Roman" w:hAnsi="Times New Roman" w:cs="Times New Roman"/>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Comisia de achiziții va examina numai ofertele financiare ale ofertanților a căror oferte au fost prezentate în conformitate cu cerințele minime de conformitate și au fost validate.</w:t>
      </w:r>
    </w:p>
    <w:p w:rsidR="00E27A0D" w:rsidRDefault="00E27A0D" w:rsidP="008A022A">
      <w:pPr>
        <w:spacing w:after="0" w:line="240" w:lineRule="auto"/>
        <w:ind w:firstLine="720"/>
        <w:jc w:val="both"/>
        <w:rPr>
          <w:rFonts w:ascii="Times New Roman" w:eastAsia="Times New Roman" w:hAnsi="Times New Roman" w:cs="Times New Roman"/>
          <w:sz w:val="24"/>
          <w:szCs w:val="24"/>
        </w:rPr>
      </w:pPr>
    </w:p>
    <w:p w:rsidR="00E27A0D" w:rsidRDefault="00595CB1" w:rsidP="008A02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Căi de atac</w:t>
      </w:r>
    </w:p>
    <w:p w:rsidR="00E27A0D" w:rsidRDefault="00E27A0D" w:rsidP="008A022A">
      <w:pPr>
        <w:spacing w:after="0" w:line="240" w:lineRule="auto"/>
        <w:ind w:firstLine="720"/>
        <w:jc w:val="both"/>
        <w:rPr>
          <w:rFonts w:ascii="Times New Roman" w:eastAsia="Times New Roman" w:hAnsi="Times New Roman" w:cs="Times New Roman"/>
          <w:b/>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Contestațiile referitoare la solicitarea de oferte și desfășurarea procedurii de achiziție se pot expedia la adresa AOPPD Eternitate de către ofertanți, în termen de cel mult 3 zile de la comunicarea rezultatului procedurii de achiziție.</w:t>
      </w:r>
    </w:p>
    <w:p w:rsidR="00E27A0D" w:rsidRDefault="00E27A0D" w:rsidP="008A022A">
      <w:pPr>
        <w:spacing w:after="0" w:line="240" w:lineRule="auto"/>
        <w:ind w:firstLine="720"/>
        <w:jc w:val="both"/>
        <w:rPr>
          <w:rFonts w:ascii="Times New Roman" w:eastAsia="Times New Roman" w:hAnsi="Times New Roman" w:cs="Times New Roman"/>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Acestea vor fi examinate de Comisia de achiziții în termen de cel mult 3 zile de la primirea contestației. </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Încheierea contractului și plata</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 cu cea mai mică sumă evaluată va fi desemnată câștigătoare.</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Contractul cu compania/iile câștigătoare va fi semnat în Lei moldovenești. Prețul stabilit în contract va rămâne fix pe toată perioada de implementare a contractului. Plata va fi efectuată, prin transfer bancar, pe contul de decontare a furnizorului, în lei moldovenești.</w:t>
      </w: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Achitarea pentru </w:t>
      </w:r>
      <w:r w:rsidR="00B36C52">
        <w:rPr>
          <w:rFonts w:ascii="Times New Roman" w:eastAsia="Times New Roman" w:hAnsi="Times New Roman" w:cs="Times New Roman"/>
          <w:sz w:val="24"/>
          <w:szCs w:val="24"/>
        </w:rPr>
        <w:t>bunuri</w:t>
      </w:r>
      <w:r>
        <w:rPr>
          <w:rFonts w:ascii="Times New Roman" w:eastAsia="Times New Roman" w:hAnsi="Times New Roman" w:cs="Times New Roman"/>
          <w:sz w:val="24"/>
          <w:szCs w:val="24"/>
        </w:rPr>
        <w:t xml:space="preserve"> va fi efectuată după </w:t>
      </w:r>
      <w:r w:rsidR="00B36C52">
        <w:rPr>
          <w:rFonts w:ascii="Times New Roman" w:eastAsia="Times New Roman" w:hAnsi="Times New Roman" w:cs="Times New Roman"/>
          <w:sz w:val="24"/>
          <w:szCs w:val="24"/>
        </w:rPr>
        <w:t>livrarea acestora</w:t>
      </w:r>
      <w:r>
        <w:rPr>
          <w:rFonts w:ascii="Times New Roman" w:eastAsia="Times New Roman" w:hAnsi="Times New Roman" w:cs="Times New Roman"/>
          <w:sz w:val="24"/>
          <w:szCs w:val="24"/>
        </w:rPr>
        <w:t>, după semnarea de către ambele părți a Actului de recepție a serviciilor prestate, prin transfer bancar, pe contul indicat de furnizor în contract.</w:t>
      </w:r>
    </w:p>
    <w:p w:rsidR="00E27A0D" w:rsidRDefault="00E27A0D" w:rsidP="008A022A">
      <w:pPr>
        <w:spacing w:after="0" w:line="240" w:lineRule="auto"/>
        <w:ind w:firstLine="720"/>
        <w:jc w:val="both"/>
        <w:rPr>
          <w:rFonts w:ascii="Times New Roman" w:eastAsia="Times New Roman" w:hAnsi="Times New Roman" w:cs="Times New Roman"/>
          <w:sz w:val="24"/>
          <w:szCs w:val="24"/>
        </w:rPr>
      </w:pPr>
    </w:p>
    <w:p w:rsidR="00E27A0D" w:rsidRDefault="00595CB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Confidențialitatea și protecția datelor cu caracter personal</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Ofertele înscrise la concurs vor conține, direct sau indirect, date cu caracter personal. AOPPD Eternitate va asigura confidențialitatea datelor cu caracter personal în procesul de colectare, prelucrare și stocare a acestora în condițiile prevăzute de Legea privind protecția datelor cu caracter personal. </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Conflict de interese </w:t>
      </w:r>
    </w:p>
    <w:p w:rsidR="00E27A0D" w:rsidRDefault="00E27A0D">
      <w:pPr>
        <w:spacing w:after="0" w:line="240" w:lineRule="auto"/>
        <w:jc w:val="both"/>
        <w:rPr>
          <w:rFonts w:ascii="Times New Roman" w:eastAsia="Times New Roman" w:hAnsi="Times New Roman" w:cs="Times New Roman"/>
          <w:sz w:val="24"/>
          <w:szCs w:val="24"/>
        </w:rPr>
      </w:pPr>
    </w:p>
    <w:p w:rsidR="00E27A0D" w:rsidRDefault="00595CB1" w:rsidP="008A022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Principiile fundamentale pe care AOPPD Eternitate dorește să le accentueze în sfera conflictului de interese sunt:</w:t>
      </w:r>
    </w:p>
    <w:p w:rsidR="00E27A0D" w:rsidRDefault="00595CB1">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conflictele de interese potențiale sau care sunt în efect trebuie declarate;</w:t>
      </w:r>
    </w:p>
    <w:p w:rsidR="00E27A0D" w:rsidRDefault="00595CB1">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Nici o persoană nu ar trebui să fie în poziție de decident asupra cazului său;</w:t>
      </w:r>
    </w:p>
    <w:p w:rsidR="00E27A0D" w:rsidRDefault="00595CB1">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proofErr w:type="spellStart"/>
      <w:r>
        <w:rPr>
          <w:rFonts w:ascii="Times New Roman" w:eastAsia="Times New Roman" w:hAnsi="Times New Roman" w:cs="Times New Roman"/>
          <w:sz w:val="24"/>
          <w:szCs w:val="24"/>
        </w:rPr>
        <w:t>dealing</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ul</w:t>
      </w:r>
      <w:proofErr w:type="spellEnd"/>
      <w:r>
        <w:rPr>
          <w:rFonts w:ascii="Times New Roman" w:eastAsia="Times New Roman" w:hAnsi="Times New Roman" w:cs="Times New Roman"/>
          <w:sz w:val="24"/>
          <w:szCs w:val="24"/>
        </w:rPr>
        <w:t xml:space="preserve"> este interzis.</w:t>
      </w:r>
    </w:p>
    <w:p w:rsidR="00E27A0D" w:rsidRDefault="00E27A0D">
      <w:pPr>
        <w:spacing w:after="0" w:line="240" w:lineRule="auto"/>
        <w:jc w:val="both"/>
        <w:rPr>
          <w:rFonts w:ascii="Times New Roman" w:eastAsia="Times New Roman" w:hAnsi="Times New Roman" w:cs="Times New Roman"/>
          <w:sz w:val="24"/>
          <w:szCs w:val="24"/>
        </w:rPr>
      </w:pPr>
    </w:p>
    <w:sectPr w:rsidR="00E27A0D">
      <w:headerReference w:type="first" r:id="rId9"/>
      <w:footerReference w:type="first" r:id="rId10"/>
      <w:pgSz w:w="11906" w:h="16838"/>
      <w:pgMar w:top="1440" w:right="1440" w:bottom="1231"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73F7" w:rsidRDefault="001073F7">
      <w:pPr>
        <w:spacing w:after="0" w:line="240" w:lineRule="auto"/>
      </w:pPr>
      <w:r>
        <w:separator/>
      </w:r>
    </w:p>
  </w:endnote>
  <w:endnote w:type="continuationSeparator" w:id="0">
    <w:p w:rsidR="001073F7" w:rsidRDefault="00107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233F19-D1B0-40F2-AEB2-485DAB33B1B8}"/>
    <w:embedBold r:id="rId2" w:fontKey="{8299A35C-B489-41AB-84E4-223F590F0D3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EF8BCA44-F1DF-406A-9A59-48E24A7C25E7}"/>
    <w:embedItalic r:id="rId4" w:fontKey="{C21DA6D7-075E-4C4C-A0CE-D480C13677B2}"/>
  </w:font>
  <w:font w:name="Georgia">
    <w:panose1 w:val="02040502050405020303"/>
    <w:charset w:val="00"/>
    <w:family w:val="roman"/>
    <w:pitch w:val="variable"/>
    <w:sig w:usb0="00000287" w:usb1="00000000" w:usb2="00000000" w:usb3="00000000" w:csb0="0000009F" w:csb1="00000000"/>
    <w:embedRegular r:id="rId5" w:fontKey="{CA1BC314-B229-45F5-9B31-31F7C33DAC8B}"/>
    <w:embedItalic r:id="rId6" w:fontKey="{B4E7F99F-9CCF-4C50-BBC3-152DB2FB5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A0D" w:rsidRDefault="00595CB1">
    <w:pPr>
      <w:tabs>
        <w:tab w:val="center" w:pos="4513"/>
        <w:tab w:val="right" w:pos="9026"/>
        <w:tab w:val="left" w:pos="3622"/>
      </w:tabs>
      <w:spacing w:after="0" w:line="240" w:lineRule="auto"/>
      <w:jc w:val="center"/>
      <w:rPr>
        <w:color w:val="000000"/>
      </w:rPr>
    </w:pPr>
    <w:r>
      <w:rPr>
        <w:noProof/>
      </w:rPr>
      <w:drawing>
        <wp:anchor distT="114300" distB="114300" distL="114300" distR="114300" simplePos="0" relativeHeight="251662336" behindDoc="0" locked="0" layoutInCell="1" hidden="0" allowOverlap="1">
          <wp:simplePos x="0" y="0"/>
          <wp:positionH relativeFrom="column">
            <wp:posOffset>-238122</wp:posOffset>
          </wp:positionH>
          <wp:positionV relativeFrom="paragraph">
            <wp:posOffset>-179985</wp:posOffset>
          </wp:positionV>
          <wp:extent cx="1738503" cy="619125"/>
          <wp:effectExtent l="0" t="0" r="0" b="0"/>
          <wp:wrapNone/>
          <wp:docPr id="1818543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38503" cy="61912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4705350</wp:posOffset>
          </wp:positionH>
          <wp:positionV relativeFrom="paragraph">
            <wp:posOffset>-179985</wp:posOffset>
          </wp:positionV>
          <wp:extent cx="644362" cy="697083"/>
          <wp:effectExtent l="0" t="0" r="0" b="0"/>
          <wp:wrapNone/>
          <wp:docPr id="18185437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44362" cy="69708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73F7" w:rsidRDefault="001073F7">
      <w:pPr>
        <w:spacing w:after="0" w:line="240" w:lineRule="auto"/>
      </w:pPr>
      <w:r>
        <w:separator/>
      </w:r>
    </w:p>
  </w:footnote>
  <w:footnote w:type="continuationSeparator" w:id="0">
    <w:p w:rsidR="001073F7" w:rsidRDefault="00107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A0D" w:rsidRDefault="00595CB1">
    <w:pPr>
      <w:pBdr>
        <w:top w:val="nil"/>
        <w:left w:val="nil"/>
        <w:bottom w:val="nil"/>
        <w:right w:val="nil"/>
        <w:between w:val="nil"/>
      </w:pBdr>
      <w:tabs>
        <w:tab w:val="center" w:pos="4513"/>
        <w:tab w:val="right" w:pos="9026"/>
      </w:tabs>
      <w:spacing w:after="0" w:line="240" w:lineRule="auto"/>
      <w:rPr>
        <w:color w:val="000000"/>
      </w:rPr>
    </w:pPr>
    <w:r>
      <w:rPr>
        <w:noProof/>
      </w:rPr>
      <w:drawing>
        <wp:anchor distT="114300" distB="114300" distL="114300" distR="114300" simplePos="0" relativeHeight="251658240" behindDoc="0" locked="0" layoutInCell="1" hidden="0" allowOverlap="1">
          <wp:simplePos x="0" y="0"/>
          <wp:positionH relativeFrom="column">
            <wp:posOffset>-828671</wp:posOffset>
          </wp:positionH>
          <wp:positionV relativeFrom="paragraph">
            <wp:posOffset>-276222</wp:posOffset>
          </wp:positionV>
          <wp:extent cx="1743075" cy="442991"/>
          <wp:effectExtent l="0" t="0" r="0" b="0"/>
          <wp:wrapNone/>
          <wp:docPr id="18185437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743075" cy="44299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-228597</wp:posOffset>
          </wp:positionV>
          <wp:extent cx="1742168" cy="438150"/>
          <wp:effectExtent l="0" t="0" r="0" b="0"/>
          <wp:wrapNone/>
          <wp:docPr id="18185437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42168" cy="4381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1228725</wp:posOffset>
          </wp:positionH>
          <wp:positionV relativeFrom="paragraph">
            <wp:posOffset>-252410</wp:posOffset>
          </wp:positionV>
          <wp:extent cx="1153716" cy="485775"/>
          <wp:effectExtent l="0" t="0" r="0" b="0"/>
          <wp:wrapNone/>
          <wp:docPr id="18185437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153716" cy="4857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2914650</wp:posOffset>
          </wp:positionH>
          <wp:positionV relativeFrom="paragraph">
            <wp:posOffset>-335276</wp:posOffset>
          </wp:positionV>
          <wp:extent cx="1132417" cy="619125"/>
          <wp:effectExtent l="0" t="0" r="0" b="0"/>
          <wp:wrapNone/>
          <wp:docPr id="18185437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132417"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05A4"/>
    <w:multiLevelType w:val="multilevel"/>
    <w:tmpl w:val="2E76D1E6"/>
    <w:lvl w:ilvl="0">
      <w:start w:val="1"/>
      <w:numFmt w:val="bullet"/>
      <w:lvlText w:val="●"/>
      <w:lvlJc w:val="left"/>
      <w:pPr>
        <w:ind w:left="283"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836B66"/>
    <w:multiLevelType w:val="multilevel"/>
    <w:tmpl w:val="0568D9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B5F4185"/>
    <w:multiLevelType w:val="multilevel"/>
    <w:tmpl w:val="7592C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E23F97"/>
    <w:multiLevelType w:val="multilevel"/>
    <w:tmpl w:val="9CD4F874"/>
    <w:lvl w:ilvl="0">
      <w:start w:val="1"/>
      <w:numFmt w:val="bullet"/>
      <w:lvlText w:val="●"/>
      <w:lvlJc w:val="left"/>
      <w:pPr>
        <w:ind w:left="283"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48622DD"/>
    <w:multiLevelType w:val="multilevel"/>
    <w:tmpl w:val="62F6E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9A0887"/>
    <w:multiLevelType w:val="multilevel"/>
    <w:tmpl w:val="CAE07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2E7B7E"/>
    <w:multiLevelType w:val="multilevel"/>
    <w:tmpl w:val="E4E49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Heading9"/>
      <w:lvlText w:val="-"/>
      <w:lvlJc w:val="left"/>
      <w:pPr>
        <w:ind w:left="6480" w:hanging="360"/>
      </w:pPr>
      <w:rPr>
        <w:u w:val="none"/>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A0D"/>
    <w:rsid w:val="001073F7"/>
    <w:rsid w:val="00595CB1"/>
    <w:rsid w:val="006178C0"/>
    <w:rsid w:val="006C10CF"/>
    <w:rsid w:val="008A022A"/>
    <w:rsid w:val="00A40944"/>
    <w:rsid w:val="00B36C52"/>
    <w:rsid w:val="00E27A0D"/>
    <w:rsid w:val="00EA1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ADD59"/>
  <w15:docId w15:val="{00B2384D-D5F6-415E-BD0F-1BC238A9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M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ind w:left="432" w:hanging="432"/>
      <w:jc w:val="both"/>
      <w:outlineLvl w:val="0"/>
    </w:pPr>
    <w:rPr>
      <w:rFonts w:ascii="Times New Roman" w:eastAsia="Times New Roman" w:hAnsi="Times New Roman" w:cs="Times New Roman"/>
      <w:color w:val="FF0000"/>
    </w:rPr>
  </w:style>
  <w:style w:type="paragraph" w:styleId="Heading2">
    <w:name w:val="heading 2"/>
    <w:basedOn w:val="Normal"/>
    <w:next w:val="Normal"/>
    <w:link w:val="Heading2Char"/>
    <w:uiPriority w:val="9"/>
    <w:semiHidden/>
    <w:unhideWhenUsed/>
    <w:qFormat/>
    <w:pPr>
      <w:keepNext/>
      <w:spacing w:after="0" w:line="240" w:lineRule="auto"/>
      <w:ind w:left="576" w:hanging="576"/>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semiHidden/>
    <w:unhideWhenUsed/>
    <w:qFormat/>
    <w:pPr>
      <w:keepNext/>
      <w:spacing w:after="0" w:line="240" w:lineRule="auto"/>
      <w:ind w:left="720" w:hanging="720"/>
      <w:jc w:val="both"/>
      <w:outlineLvl w:val="2"/>
    </w:pPr>
    <w:rPr>
      <w:rFonts w:ascii="Times New Roman" w:eastAsia="Times New Roman" w:hAnsi="Times New Roman" w:cs="Times New Roman"/>
      <w:i/>
    </w:rPr>
  </w:style>
  <w:style w:type="paragraph" w:styleId="Heading4">
    <w:name w:val="heading 4"/>
    <w:basedOn w:val="Normal"/>
    <w:next w:val="Normal"/>
    <w:link w:val="Heading4Char"/>
    <w:uiPriority w:val="9"/>
    <w:semiHidden/>
    <w:unhideWhenUsed/>
    <w:qFormat/>
    <w:pPr>
      <w:keepNext/>
      <w:spacing w:after="0" w:line="240" w:lineRule="auto"/>
      <w:ind w:left="864" w:hanging="864"/>
      <w:jc w:val="both"/>
      <w:outlineLvl w:val="3"/>
    </w:pPr>
    <w:rPr>
      <w:rFonts w:ascii="Times New Roman" w:eastAsia="Times New Roman" w:hAnsi="Times New Roman" w:cs="Times New Roman"/>
      <w:b/>
    </w:rPr>
  </w:style>
  <w:style w:type="paragraph" w:styleId="Heading5">
    <w:name w:val="heading 5"/>
    <w:basedOn w:val="Normal"/>
    <w:next w:val="Normal"/>
    <w:link w:val="Heading5Char"/>
    <w:uiPriority w:val="9"/>
    <w:semiHidden/>
    <w:unhideWhenUsed/>
    <w:qFormat/>
    <w:pPr>
      <w:keepNext/>
      <w:widowControl w:val="0"/>
      <w:spacing w:before="120" w:after="120" w:line="240" w:lineRule="auto"/>
      <w:ind w:left="1008" w:hanging="1008"/>
      <w:jc w:val="center"/>
      <w:outlineLvl w:val="4"/>
    </w:pPr>
    <w:rPr>
      <w:rFonts w:ascii="Arial" w:eastAsia="Arial" w:hAnsi="Arial" w:cs="Arial"/>
      <w:b/>
    </w:rPr>
  </w:style>
  <w:style w:type="paragraph" w:styleId="Heading6">
    <w:name w:val="heading 6"/>
    <w:basedOn w:val="Normal"/>
    <w:next w:val="Normal"/>
    <w:link w:val="Heading6Char"/>
    <w:uiPriority w:val="9"/>
    <w:semiHidden/>
    <w:unhideWhenUsed/>
    <w:qFormat/>
    <w:pPr>
      <w:spacing w:before="240" w:after="60" w:line="240" w:lineRule="auto"/>
      <w:ind w:left="1152" w:hanging="1152"/>
      <w:outlineLvl w:val="5"/>
    </w:pPr>
    <w:rPr>
      <w:b/>
    </w:rPr>
  </w:style>
  <w:style w:type="paragraph" w:styleId="Heading9">
    <w:name w:val="heading 9"/>
    <w:basedOn w:val="Normal"/>
    <w:next w:val="Normal"/>
    <w:link w:val="Heading9Char"/>
    <w:qFormat/>
    <w:rsid w:val="003E1B2E"/>
    <w:pPr>
      <w:numPr>
        <w:ilvl w:val="8"/>
        <w:numId w:val="7"/>
      </w:numPr>
      <w:suppressAutoHyphens/>
      <w:spacing w:before="240" w:after="60" w:line="240" w:lineRule="auto"/>
      <w:outlineLvl w:val="8"/>
    </w:pPr>
    <w:rPr>
      <w:rFonts w:ascii="Arial" w:eastAsia="Times New Roman" w:hAnsi="Arial" w:cs="Arial"/>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287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F57"/>
    <w:rPr>
      <w:lang w:val="ro-MD"/>
    </w:rPr>
  </w:style>
  <w:style w:type="paragraph" w:styleId="Footer">
    <w:name w:val="footer"/>
    <w:basedOn w:val="Normal"/>
    <w:link w:val="FooterChar"/>
    <w:uiPriority w:val="99"/>
    <w:unhideWhenUsed/>
    <w:rsid w:val="00287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F57"/>
    <w:rPr>
      <w:lang w:val="ro-MD"/>
    </w:rPr>
  </w:style>
  <w:style w:type="paragraph" w:styleId="ListParagraph">
    <w:name w:val="List Paragraph"/>
    <w:aliases w:val="Bullet"/>
    <w:basedOn w:val="Normal"/>
    <w:link w:val="ListParagraphChar"/>
    <w:uiPriority w:val="34"/>
    <w:qFormat/>
    <w:rsid w:val="002B6BDB"/>
    <w:pPr>
      <w:suppressAutoHyphens/>
      <w:spacing w:after="0" w:line="100" w:lineRule="atLeast"/>
      <w:ind w:left="720"/>
    </w:pPr>
    <w:rPr>
      <w:rFonts w:ascii="Times New Roman" w:eastAsia="Times New Roman" w:hAnsi="Times New Roman" w:cs="Times New Roman"/>
      <w:kern w:val="1"/>
      <w:sz w:val="24"/>
      <w:szCs w:val="20"/>
      <w:lang w:val="en-US" w:eastAsia="ar-SA"/>
    </w:rPr>
  </w:style>
  <w:style w:type="table" w:styleId="TableGrid">
    <w:name w:val="Table Grid"/>
    <w:basedOn w:val="TableNormal"/>
    <w:uiPriority w:val="5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6BDB"/>
    <w:pPr>
      <w:spacing w:after="0" w:line="240" w:lineRule="auto"/>
    </w:pPr>
    <w:rPr>
      <w:rFonts w:cs="Times New Roman"/>
      <w:lang w:val="en-US"/>
    </w:rPr>
  </w:style>
  <w:style w:type="table" w:customStyle="1" w:styleId="TableGrid2">
    <w:name w:val="Table Grid2"/>
    <w:basedOn w:val="TableNormal"/>
    <w:next w:val="TableGrid"/>
    <w:uiPriority w:val="3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B6BDB"/>
    <w:pPr>
      <w:tabs>
        <w:tab w:val="left" w:pos="720"/>
      </w:tabs>
      <w:spacing w:after="0" w:line="240" w:lineRule="auto"/>
      <w:ind w:left="720"/>
    </w:pPr>
    <w:rPr>
      <w:rFonts w:ascii="Times New Roman" w:eastAsia="Times New Roman" w:hAnsi="Times New Roman" w:cs="Times New Roman"/>
      <w:sz w:val="20"/>
      <w:szCs w:val="20"/>
      <w:lang w:val="ro-RO"/>
    </w:rPr>
  </w:style>
  <w:style w:type="character" w:customStyle="1" w:styleId="BodyTextIndentChar">
    <w:name w:val="Body Text Indent Char"/>
    <w:basedOn w:val="DefaultParagraphFont"/>
    <w:link w:val="BodyTextIndent"/>
    <w:rsid w:val="002B6BDB"/>
    <w:rPr>
      <w:rFonts w:ascii="Times New Roman" w:eastAsia="Times New Roman" w:hAnsi="Times New Roman" w:cs="Times New Roman"/>
      <w:kern w:val="0"/>
      <w:sz w:val="20"/>
      <w:szCs w:val="20"/>
      <w:lang w:val="ro-RO"/>
    </w:rPr>
  </w:style>
  <w:style w:type="character" w:styleId="CommentReference">
    <w:name w:val="annotation reference"/>
    <w:basedOn w:val="DefaultParagraphFont"/>
    <w:uiPriority w:val="99"/>
    <w:unhideWhenUsed/>
    <w:rsid w:val="00C4579C"/>
    <w:rPr>
      <w:sz w:val="16"/>
      <w:szCs w:val="16"/>
    </w:rPr>
  </w:style>
  <w:style w:type="paragraph" w:styleId="CommentText">
    <w:name w:val="annotation text"/>
    <w:basedOn w:val="Normal"/>
    <w:link w:val="CommentTextChar"/>
    <w:uiPriority w:val="99"/>
    <w:unhideWhenUsed/>
    <w:rsid w:val="00C4579C"/>
    <w:pPr>
      <w:spacing w:after="240" w:line="240" w:lineRule="auto"/>
      <w:jc w:val="both"/>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C4579C"/>
    <w:rPr>
      <w:rFonts w:ascii="Times New Roman" w:eastAsia="Times New Roman" w:hAnsi="Times New Roman" w:cs="Times New Roman"/>
      <w:kern w:val="0"/>
      <w:sz w:val="20"/>
      <w:szCs w:val="20"/>
    </w:rPr>
  </w:style>
  <w:style w:type="paragraph" w:styleId="Revision">
    <w:name w:val="Revision"/>
    <w:hidden/>
    <w:uiPriority w:val="99"/>
    <w:semiHidden/>
    <w:rsid w:val="001B5CFD"/>
    <w:pPr>
      <w:spacing w:after="0" w:line="240" w:lineRule="auto"/>
    </w:pPr>
  </w:style>
  <w:style w:type="paragraph" w:styleId="CommentSubject">
    <w:name w:val="annotation subject"/>
    <w:basedOn w:val="CommentText"/>
    <w:next w:val="CommentText"/>
    <w:link w:val="CommentSubjectChar"/>
    <w:uiPriority w:val="99"/>
    <w:semiHidden/>
    <w:unhideWhenUsed/>
    <w:rsid w:val="001B5CFD"/>
    <w:pPr>
      <w:spacing w:after="160"/>
      <w:jc w:val="left"/>
    </w:pPr>
    <w:rPr>
      <w:rFonts w:asciiTheme="minorHAnsi" w:eastAsiaTheme="minorHAnsi" w:hAnsiTheme="minorHAnsi" w:cstheme="minorBidi"/>
      <w:b/>
      <w:bCs/>
      <w:kern w:val="2"/>
      <w:lang w:val="ro-MD"/>
    </w:rPr>
  </w:style>
  <w:style w:type="character" w:customStyle="1" w:styleId="CommentSubjectChar">
    <w:name w:val="Comment Subject Char"/>
    <w:basedOn w:val="CommentTextChar"/>
    <w:link w:val="CommentSubject"/>
    <w:uiPriority w:val="99"/>
    <w:semiHidden/>
    <w:rsid w:val="001B5CFD"/>
    <w:rPr>
      <w:rFonts w:ascii="Times New Roman" w:eastAsia="Times New Roman" w:hAnsi="Times New Roman" w:cs="Times New Roman"/>
      <w:b/>
      <w:bCs/>
      <w:kern w:val="0"/>
      <w:sz w:val="20"/>
      <w:szCs w:val="20"/>
      <w:lang w:val="ro-MD"/>
    </w:rPr>
  </w:style>
  <w:style w:type="paragraph" w:styleId="BodyText">
    <w:name w:val="Body Text"/>
    <w:basedOn w:val="Normal"/>
    <w:link w:val="BodyTextChar"/>
    <w:uiPriority w:val="99"/>
    <w:semiHidden/>
    <w:unhideWhenUsed/>
    <w:rsid w:val="003E1B2E"/>
    <w:pPr>
      <w:spacing w:after="120"/>
    </w:pPr>
  </w:style>
  <w:style w:type="character" w:customStyle="1" w:styleId="BodyTextChar">
    <w:name w:val="Body Text Char"/>
    <w:basedOn w:val="DefaultParagraphFont"/>
    <w:link w:val="BodyText"/>
    <w:uiPriority w:val="99"/>
    <w:semiHidden/>
    <w:rsid w:val="003E1B2E"/>
    <w:rPr>
      <w:lang w:val="ro-MD"/>
    </w:rPr>
  </w:style>
  <w:style w:type="paragraph" w:styleId="BodyText2">
    <w:name w:val="Body Text 2"/>
    <w:basedOn w:val="Normal"/>
    <w:link w:val="BodyText2Char"/>
    <w:uiPriority w:val="99"/>
    <w:semiHidden/>
    <w:unhideWhenUsed/>
    <w:rsid w:val="003E1B2E"/>
    <w:pPr>
      <w:spacing w:after="120" w:line="480" w:lineRule="auto"/>
    </w:pPr>
  </w:style>
  <w:style w:type="character" w:customStyle="1" w:styleId="BodyText2Char">
    <w:name w:val="Body Text 2 Char"/>
    <w:basedOn w:val="DefaultParagraphFont"/>
    <w:link w:val="BodyText2"/>
    <w:uiPriority w:val="99"/>
    <w:semiHidden/>
    <w:rsid w:val="003E1B2E"/>
    <w:rPr>
      <w:lang w:val="ro-MD"/>
    </w:rPr>
  </w:style>
  <w:style w:type="character" w:customStyle="1" w:styleId="Heading1Char">
    <w:name w:val="Heading 1 Char"/>
    <w:basedOn w:val="DefaultParagraphFont"/>
    <w:link w:val="Heading1"/>
    <w:rsid w:val="003E1B2E"/>
    <w:rPr>
      <w:rFonts w:ascii="Times New Roman" w:eastAsia="Times New Roman" w:hAnsi="Times New Roman" w:cs="Times New Roman"/>
      <w:color w:val="FF0000"/>
      <w:kern w:val="0"/>
      <w:szCs w:val="20"/>
      <w:lang w:val="en-US" w:eastAsia="ar-SA"/>
    </w:rPr>
  </w:style>
  <w:style w:type="character" w:customStyle="1" w:styleId="Heading2Char">
    <w:name w:val="Heading 2 Char"/>
    <w:basedOn w:val="DefaultParagraphFont"/>
    <w:link w:val="Heading2"/>
    <w:rsid w:val="003E1B2E"/>
    <w:rPr>
      <w:rFonts w:ascii="Times New Roman" w:eastAsia="Times New Roman" w:hAnsi="Times New Roman" w:cs="Times New Roman"/>
      <w:b/>
      <w:kern w:val="0"/>
      <w:sz w:val="24"/>
      <w:szCs w:val="20"/>
      <w:lang w:val="en-US" w:eastAsia="ar-SA"/>
    </w:rPr>
  </w:style>
  <w:style w:type="character" w:customStyle="1" w:styleId="Heading3Char">
    <w:name w:val="Heading 3 Char"/>
    <w:basedOn w:val="DefaultParagraphFont"/>
    <w:link w:val="Heading3"/>
    <w:rsid w:val="003E1B2E"/>
    <w:rPr>
      <w:rFonts w:ascii="Times New Roman" w:eastAsia="Times New Roman" w:hAnsi="Times New Roman" w:cs="Times New Roman"/>
      <w:i/>
      <w:kern w:val="0"/>
      <w:szCs w:val="20"/>
      <w:lang w:val="en-US" w:eastAsia="ar-SA"/>
    </w:rPr>
  </w:style>
  <w:style w:type="character" w:customStyle="1" w:styleId="Heading4Char">
    <w:name w:val="Heading 4 Char"/>
    <w:basedOn w:val="DefaultParagraphFont"/>
    <w:link w:val="Heading4"/>
    <w:rsid w:val="003E1B2E"/>
    <w:rPr>
      <w:rFonts w:ascii="Times New Roman" w:eastAsia="Times New Roman" w:hAnsi="Times New Roman" w:cs="Times New Roman"/>
      <w:b/>
      <w:kern w:val="0"/>
      <w:szCs w:val="20"/>
      <w:lang w:val="en-US" w:eastAsia="ar-SA"/>
    </w:rPr>
  </w:style>
  <w:style w:type="character" w:customStyle="1" w:styleId="Heading5Char">
    <w:name w:val="Heading 5 Char"/>
    <w:basedOn w:val="DefaultParagraphFont"/>
    <w:link w:val="Heading5"/>
    <w:rsid w:val="003E1B2E"/>
    <w:rPr>
      <w:rFonts w:ascii="Arial" w:eastAsia="Times New Roman" w:hAnsi="Arial" w:cs="Times New Roman"/>
      <w:b/>
      <w:kern w:val="0"/>
      <w:szCs w:val="20"/>
      <w:lang w:val="en-US" w:eastAsia="ar-SA"/>
    </w:rPr>
  </w:style>
  <w:style w:type="character" w:customStyle="1" w:styleId="Heading6Char">
    <w:name w:val="Heading 6 Char"/>
    <w:basedOn w:val="DefaultParagraphFont"/>
    <w:link w:val="Heading6"/>
    <w:rsid w:val="003E1B2E"/>
    <w:rPr>
      <w:rFonts w:ascii="Calibri" w:eastAsia="Times New Roman" w:hAnsi="Calibri" w:cs="Times New Roman"/>
      <w:b/>
      <w:bCs/>
      <w:kern w:val="0"/>
      <w:lang w:val="en-US" w:eastAsia="ar-SA"/>
    </w:rPr>
  </w:style>
  <w:style w:type="character" w:customStyle="1" w:styleId="Heading9Char">
    <w:name w:val="Heading 9 Char"/>
    <w:basedOn w:val="DefaultParagraphFont"/>
    <w:link w:val="Heading9"/>
    <w:rsid w:val="003E1B2E"/>
    <w:rPr>
      <w:rFonts w:ascii="Arial" w:eastAsia="Times New Roman" w:hAnsi="Arial" w:cs="Arial"/>
      <w:kern w:val="0"/>
      <w:lang w:val="ro-RO" w:eastAsia="ar-SA"/>
    </w:rPr>
  </w:style>
  <w:style w:type="paragraph" w:customStyle="1" w:styleId="WW-Default">
    <w:name w:val="WW-Default"/>
    <w:rsid w:val="003E1B2E"/>
    <w:pPr>
      <w:suppressAutoHyphens/>
      <w:autoSpaceDE w:val="0"/>
      <w:spacing w:after="0" w:line="240" w:lineRule="auto"/>
    </w:pPr>
    <w:rPr>
      <w:rFonts w:ascii="Arial" w:hAnsi="Arial" w:cs="Arial"/>
      <w:color w:val="000000"/>
      <w:sz w:val="24"/>
      <w:szCs w:val="24"/>
      <w:lang w:val="en-US" w:eastAsia="ar-SA"/>
    </w:rPr>
  </w:style>
  <w:style w:type="character" w:customStyle="1" w:styleId="Commentsstyle">
    <w:name w:val="Comments style"/>
    <w:uiPriority w:val="1"/>
    <w:rsid w:val="003E1B2E"/>
    <w:rPr>
      <w:rFonts w:ascii="Calibri Light" w:hAnsi="Calibri Light"/>
      <w:i/>
      <w:color w:val="auto"/>
      <w:sz w:val="22"/>
    </w:rPr>
  </w:style>
  <w:style w:type="paragraph" w:customStyle="1" w:styleId="Default">
    <w:name w:val="Default"/>
    <w:rsid w:val="003E1B2E"/>
    <w:pPr>
      <w:autoSpaceDE w:val="0"/>
      <w:autoSpaceDN w:val="0"/>
      <w:adjustRightInd w:val="0"/>
      <w:spacing w:after="0" w:line="240" w:lineRule="auto"/>
    </w:pPr>
    <w:rPr>
      <w:rFonts w:ascii="Arial" w:hAnsi="Arial" w:cs="Arial"/>
      <w:color w:val="000000"/>
      <w:sz w:val="24"/>
      <w:szCs w:val="24"/>
      <w:lang w:val="en-US"/>
    </w:rPr>
  </w:style>
  <w:style w:type="character" w:customStyle="1" w:styleId="ListParagraphChar">
    <w:name w:val="List Paragraph Char"/>
    <w:aliases w:val="Bullet Char"/>
    <w:link w:val="ListParagraph"/>
    <w:uiPriority w:val="34"/>
    <w:locked/>
    <w:rsid w:val="00D035F0"/>
    <w:rPr>
      <w:rFonts w:ascii="Times New Roman" w:eastAsia="Times New Roman" w:hAnsi="Times New Roman" w:cs="Times New Roman"/>
      <w:kern w:val="1"/>
      <w:sz w:val="24"/>
      <w:szCs w:val="20"/>
      <w:lang w:val="en-US" w:eastAsia="ar-SA"/>
    </w:rPr>
  </w:style>
  <w:style w:type="paragraph" w:styleId="NormalWeb">
    <w:name w:val="Normal (Web)"/>
    <w:basedOn w:val="Normal"/>
    <w:uiPriority w:val="99"/>
    <w:unhideWhenUsed/>
    <w:rsid w:val="00644A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C1108"/>
    <w:rPr>
      <w:b/>
      <w:bCs/>
    </w:rPr>
  </w:style>
  <w:style w:type="character" w:styleId="Hyperlink">
    <w:name w:val="Hyperlink"/>
    <w:basedOn w:val="DefaultParagraphFont"/>
    <w:uiPriority w:val="99"/>
    <w:unhideWhenUsed/>
    <w:rsid w:val="00AA10D1"/>
    <w:rPr>
      <w:color w:val="0563C1" w:themeColor="hyperlink"/>
      <w:u w:val="single"/>
    </w:rPr>
  </w:style>
  <w:style w:type="character" w:styleId="UnresolvedMention">
    <w:name w:val="Unresolved Mention"/>
    <w:basedOn w:val="DefaultParagraphFont"/>
    <w:uiPriority w:val="99"/>
    <w:semiHidden/>
    <w:unhideWhenUsed/>
    <w:rsid w:val="00D841F8"/>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dmila.jalb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x0ztY0W+x6weg84+t/xRxPaZg==">CgMxLjA4AHIhMTFQV1ZEdUtfbHpOeU81eHJtS19BcnQzSmFJb3Z4alVh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1185</Words>
  <Characters>6759</Characters>
  <Application>Microsoft Office Word</Application>
  <DocSecurity>0</DocSecurity>
  <Lines>56</Lines>
  <Paragraphs>15</Paragraphs>
  <ScaleCrop>false</ScaleCrop>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 Gudumac</dc:creator>
  <cp:lastModifiedBy>Jalba, Ludmila</cp:lastModifiedBy>
  <cp:revision>6</cp:revision>
  <dcterms:created xsi:type="dcterms:W3CDTF">2025-04-10T13:23:00Z</dcterms:created>
  <dcterms:modified xsi:type="dcterms:W3CDTF">2026-06-03T13:57:00Z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2b7c6175-8847-4f8f-a780-cae43e5e9d21</vt:lpwstr>
  </property>
</Properties>
</file>