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3473" w14:textId="77777777" w:rsidR="000E7E81" w:rsidRDefault="000E7E81" w:rsidP="000E7E81">
      <w:pPr>
        <w:tabs>
          <w:tab w:val="left" w:pos="4962"/>
        </w:tabs>
        <w:spacing w:after="0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</w:p>
    <w:p w14:paraId="2BBEF81A" w14:textId="17ED57C1" w:rsidR="000E7E81" w:rsidRPr="000E7E81" w:rsidRDefault="000E7E81" w:rsidP="000E7E81">
      <w:pPr>
        <w:tabs>
          <w:tab w:val="left" w:pos="4962"/>
        </w:tabs>
        <w:spacing w:after="0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TERMENI DE REFERINȚĂ</w:t>
      </w:r>
    </w:p>
    <w:p w14:paraId="5840C873" w14:textId="77777777" w:rsidR="000E7E81" w:rsidRPr="000E7E81" w:rsidRDefault="000E7E81" w:rsidP="000E7E81">
      <w:pPr>
        <w:tabs>
          <w:tab w:val="left" w:pos="4962"/>
        </w:tabs>
        <w:spacing w:after="0"/>
        <w:jc w:val="center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contractarea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unui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/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specialist/e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(Age Inclusion Specialist)</w:t>
      </w:r>
    </w:p>
    <w:p w14:paraId="2F0B1D66" w14:textId="77777777" w:rsidR="000E7E81" w:rsidRDefault="000E7E81" w:rsidP="000E7E81">
      <w:pPr>
        <w:tabs>
          <w:tab w:val="left" w:pos="4962"/>
        </w:tabs>
        <w:spacing w:after="0"/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</w:pPr>
    </w:p>
    <w:p w14:paraId="4856B6CC" w14:textId="1184CF23" w:rsidR="000E7E81" w:rsidRPr="000E7E81" w:rsidRDefault="000E7E81" w:rsidP="000E7E81">
      <w:pPr>
        <w:tabs>
          <w:tab w:val="left" w:pos="4962"/>
        </w:tabs>
        <w:spacing w:after="0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Locul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: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Republica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Moldova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br/>
      </w:r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Solicitant (</w:t>
      </w: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angajator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):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AO HelpAge Moldova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br/>
      </w: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Tipul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contractului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: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Contract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prestări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servicii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pe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durată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determinată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br/>
      </w: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Perioada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estimată</w:t>
      </w:r>
      <w:proofErr w:type="spellEnd"/>
      <w:r w:rsidRPr="000E7E81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: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Mai -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Decembrie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2026</w:t>
      </w:r>
    </w:p>
    <w:p w14:paraId="41AF93D7" w14:textId="0D714C04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67FDE8B7" w14:textId="77777777" w:rsid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</w:p>
    <w:p w14:paraId="07C76FE2" w14:textId="5873A7EC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Context</w:t>
      </w:r>
    </w:p>
    <w:p w14:paraId="091BDD3D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AO HelpAge Moldova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implementează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sprijin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comunitățile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gazdă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cu accent pe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protecția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dizabilități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contextul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crizei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etate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se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confruntă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frecvent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bariere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accesarea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serviciilor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sociale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inclusiv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domeniul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sănătății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asistenței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financiare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securității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alimentare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serviciilor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suport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psihosocial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0D03201D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consolidarea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intervențiilor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incluzive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promovarea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participării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procesele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integrare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AO HelpAge Moldova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intenționează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contracteze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un/o specialist/ă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(Age Inclusion Specialist).</w:t>
      </w:r>
    </w:p>
    <w:p w14:paraId="4BF3BFCB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Activitatea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specialistului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/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contribui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evaluarea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nevoilor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promovarea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acestora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răspunsul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consolidarea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advocacy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nivel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național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regional.</w:t>
      </w:r>
    </w:p>
    <w:p w14:paraId="61119E9E" w14:textId="49F44F51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7BFF055C" w14:textId="77777777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Scopul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consultanței</w:t>
      </w:r>
      <w:proofErr w:type="spellEnd"/>
    </w:p>
    <w:p w14:paraId="017DA531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Scopul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acestei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consultanțe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este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sprijinirea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dizabilități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intervențiile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integrare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prin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evaluarea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nevoilor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recomandărilor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tehnice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participarea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mecanismele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advocacy.</w:t>
      </w:r>
    </w:p>
    <w:p w14:paraId="4C370B90" w14:textId="0E41CCBE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76C36715" w14:textId="77777777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Responsabilități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principale</w:t>
      </w:r>
      <w:proofErr w:type="spellEnd"/>
    </w:p>
    <w:p w14:paraId="415678C8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Specialistul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/a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avea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următoarele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responsabilități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:</w:t>
      </w:r>
    </w:p>
    <w:p w14:paraId="2D6456B7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Planificarea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procesului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evaluare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nevoilor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inclusiv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instrumentelor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colectare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datelor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organizarea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teren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7D5F7DF2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Colectarea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analiza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interpretarea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datelor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privind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nevoile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barierele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întâmpinate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domeniile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: </w:t>
      </w:r>
    </w:p>
    <w:p w14:paraId="536FBA74" w14:textId="77777777" w:rsidR="000E7E81" w:rsidRPr="000E7E81" w:rsidRDefault="000E7E81" w:rsidP="000E7E81">
      <w:pPr>
        <w:numPr>
          <w:ilvl w:val="1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securitate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alimentară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; </w:t>
      </w:r>
    </w:p>
    <w:p w14:paraId="0050D2A1" w14:textId="77777777" w:rsidR="000E7E81" w:rsidRPr="000E7E81" w:rsidRDefault="000E7E81" w:rsidP="000E7E81">
      <w:pPr>
        <w:numPr>
          <w:ilvl w:val="1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sănătate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mintală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suport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psihosocial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(MHPSS); </w:t>
      </w:r>
    </w:p>
    <w:p w14:paraId="37AD1FD7" w14:textId="77777777" w:rsidR="000E7E81" w:rsidRPr="000E7E81" w:rsidRDefault="000E7E81" w:rsidP="000E7E81">
      <w:pPr>
        <w:numPr>
          <w:ilvl w:val="1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asistență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financiară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; </w:t>
      </w:r>
    </w:p>
    <w:p w14:paraId="07AB3B2D" w14:textId="77777777" w:rsidR="000E7E81" w:rsidRPr="000E7E81" w:rsidRDefault="000E7E81" w:rsidP="000E7E81">
      <w:pPr>
        <w:numPr>
          <w:ilvl w:val="1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apă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sanitație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igienă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(WASH). </w:t>
      </w:r>
    </w:p>
    <w:p w14:paraId="4F09D476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recomandărilor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tehnice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notelor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analitice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promovarea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dizabilități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intervențiile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integrare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270EF027" w14:textId="24FF4ABB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Participarea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grupurile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lucru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mecanismele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nivel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național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regional, 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>inclusive.</w:t>
      </w:r>
    </w:p>
    <w:p w14:paraId="031FCCA8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Reprezentarea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proiectului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cadrul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întâlnirilor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advocacy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autoritățile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partenerii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organizațiile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75FAFD41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Contribuirea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implementarea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advocacy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privind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drepturile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38D2979C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Sprijinirea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organizării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campaniilor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vizibilitate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sensibilizare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inclusiv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dedicate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Zilei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Internaționale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020F02EF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Asigurarea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integrării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feedback-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beneficiarilor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proiectului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promovarea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abordărilor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participative. </w:t>
      </w:r>
    </w:p>
    <w:p w14:paraId="14F03456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rapoartelor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tehnice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contribuțiilor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narative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și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altor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documente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solicitate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echipa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proiect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5E1492D8" w14:textId="77777777" w:rsidR="000E7E81" w:rsidRPr="000E7E81" w:rsidRDefault="000E7E81" w:rsidP="000E7E81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strânsă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autoritățile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locale,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serviciile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sociale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teritoriale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partenerii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proiectului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asigurarea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implementării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eficiente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</w:t>
      </w:r>
      <w:proofErr w:type="gram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activităților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565263E0" w14:textId="0D584295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31CE686F" w14:textId="77777777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lastRenderedPageBreak/>
        <w:t>Metodologie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livrabile</w:t>
      </w:r>
      <w:proofErr w:type="spellEnd"/>
    </w:p>
    <w:p w14:paraId="21E05B85" w14:textId="5C35E8C8" w:rsid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4252"/>
        <w:gridCol w:w="3119"/>
      </w:tblGrid>
      <w:tr w:rsidR="000E7E81" w:rsidRPr="000E7E81" w14:paraId="10E5BEA7" w14:textId="77777777" w:rsidTr="000E7E8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7F13" w14:textId="77777777" w:rsidR="000E7E81" w:rsidRPr="000E7E81" w:rsidRDefault="000E7E81" w:rsidP="000E7E81">
            <w:pPr>
              <w:spacing w:after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Activitate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764" w14:textId="77777777" w:rsidR="000E7E81" w:rsidRPr="000E7E81" w:rsidRDefault="000E7E81" w:rsidP="000E7E81">
            <w:pPr>
              <w:spacing w:after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Descriere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E8DB" w14:textId="77777777" w:rsidR="000E7E81" w:rsidRPr="000E7E81" w:rsidRDefault="000E7E81" w:rsidP="000E7E81">
            <w:pPr>
              <w:spacing w:after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Rezultat</w:t>
            </w:r>
            <w:proofErr w:type="spellEnd"/>
            <w:r w:rsidRPr="000E7E8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E7E8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Livrabil</w:t>
            </w:r>
            <w:proofErr w:type="spellEnd"/>
          </w:p>
        </w:tc>
      </w:tr>
      <w:tr w:rsidR="000E7E81" w:rsidRPr="00E6090F" w14:paraId="666DCB32" w14:textId="77777777" w:rsidTr="000E7E81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CC5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Evaluarea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nevoilor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2EF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Elaborarea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instrumentelor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colectare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datelor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coordonarea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procesului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evaluare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nevoilor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vârstnice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refugiate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DD9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Instrumente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colectare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elaborate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activități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evaluare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desfășurate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E7E81" w:rsidRPr="000E7E81" w14:paraId="0D04F5E8" w14:textId="77777777" w:rsidTr="000E7E81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344D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Colectarea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analiza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datelor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4077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Colectarea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interpretarea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datelor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barierele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nevoile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beneficiarilor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domeniile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prioritare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14E8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Date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sistematizate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analizate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E7E81" w:rsidRPr="00E6090F" w14:paraId="49897C6C" w14:textId="77777777" w:rsidTr="000E7E81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ECB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Elaborarea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recomandărilor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tehnice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D5A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Formularea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recomandărilor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incluziunea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vârstnice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dizabilități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93BD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Note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analitice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recomandări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tehnice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elaborate.</w:t>
            </w:r>
          </w:p>
        </w:tc>
      </w:tr>
      <w:tr w:rsidR="000E7E81" w:rsidRPr="00E6090F" w14:paraId="3A7B1C8C" w14:textId="77777777" w:rsidTr="000E7E81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F01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Participare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coordonare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advocacy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760E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Participarea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grupurile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lucru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întâlnirile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relevante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partenerii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autoritățile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9EA6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Contribuții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reprezentare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mecanismele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coordonare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advocacy.</w:t>
            </w:r>
          </w:p>
        </w:tc>
      </w:tr>
      <w:tr w:rsidR="000E7E81" w:rsidRPr="00E6090F" w14:paraId="39C00E32" w14:textId="77777777" w:rsidTr="000E7E81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0353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Raportare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402D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Elaborarea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rapoartelor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tehnice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contribuțiilor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narative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activitățile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implementate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A97" w14:textId="77777777" w:rsidR="000E7E81" w:rsidRPr="000E7E81" w:rsidRDefault="000E7E81" w:rsidP="000E7E8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Rapoarte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contribuții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tehnice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prezentate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echipei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proiect</w:t>
            </w:r>
            <w:proofErr w:type="spellEnd"/>
            <w:r w:rsidRPr="000E7E81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1B301E05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3723C64C" w14:textId="77777777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Cerințe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față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candidați</w:t>
      </w:r>
      <w:proofErr w:type="spellEnd"/>
    </w:p>
    <w:p w14:paraId="727B284C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Studii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universitare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domeniul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social,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sănătate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asistență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socială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drepturile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omului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politici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dezvoltare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internațională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alte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domenii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79C5F1E1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profesională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minimum 3 ani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domeniul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sociale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protecției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vulnerabile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intervențiilor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39DD31C2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evaluarea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nevoilor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colectarea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analiza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datelor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rapoartelor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analitice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75CAC467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lucru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dizabilități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refugiate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constituie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un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avantaj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important. </w:t>
      </w:r>
    </w:p>
    <w:p w14:paraId="7EDD96F4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Cunoașterea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mecanismelor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coordonare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</w:t>
      </w:r>
      <w:proofErr w:type="gram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abordărilor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privind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protecția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constituie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un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avantaj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15F51271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Capacitatea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facilita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colaborarea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autorități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publice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parteneri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umanitari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organizații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ale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societății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civile. </w:t>
      </w:r>
    </w:p>
    <w:p w14:paraId="75D14001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Abilități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bune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comunicare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analiză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redactare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documentelor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tehnice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77916716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Cunoașterea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limbii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române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ruse;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cunoașterea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limbii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engleze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constituie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un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avantaj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202CB998" w14:textId="77777777" w:rsidR="000E7E81" w:rsidRPr="000E7E81" w:rsidRDefault="000E7E81" w:rsidP="000E7E81">
      <w:pPr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Capacitatea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lucra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autonom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respecta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termenele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stabilite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6ED8C6C5" w14:textId="4E7DE615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0D4E6982" w14:textId="77777777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Conținutul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dosarului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aplicare</w:t>
      </w:r>
      <w:proofErr w:type="spellEnd"/>
    </w:p>
    <w:p w14:paraId="1432501C" w14:textId="77777777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Candidații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interesați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transmite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:</w:t>
      </w:r>
    </w:p>
    <w:p w14:paraId="6937F845" w14:textId="77777777" w:rsidR="000E7E81" w:rsidRPr="000E7E81" w:rsidRDefault="000E7E81" w:rsidP="000E7E81">
      <w:pPr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CV-ul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actualizat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care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reflecte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sarcinile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solicitate; </w:t>
      </w:r>
    </w:p>
    <w:p w14:paraId="233C4E74" w14:textId="77777777" w:rsidR="000E7E81" w:rsidRPr="000E7E81" w:rsidRDefault="000E7E81" w:rsidP="000E7E81">
      <w:pPr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Oferta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financiară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exprimată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MDL,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indicarea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costului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per zi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sumei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totale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; </w:t>
      </w:r>
    </w:p>
    <w:p w14:paraId="5B9A7462" w14:textId="2BEA0E61" w:rsidR="000E7E81" w:rsidRPr="000E7E81" w:rsidRDefault="000E7E81" w:rsidP="000E7E81">
      <w:pPr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Scrisoare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motivare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care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includă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o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scurtă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descriere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</w:t>
      </w:r>
      <w:proofErr w:type="gram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pentru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această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poziție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modul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care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candidatul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/a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intenționează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îndeplinească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sarcinile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prevăzute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Termenii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Referință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; </w:t>
      </w:r>
    </w:p>
    <w:p w14:paraId="4F6FAEF0" w14:textId="77777777" w:rsidR="000E7E81" w:rsidRPr="000E7E81" w:rsidRDefault="000E7E81" w:rsidP="000E7E81">
      <w:pPr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Datele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contact a minimum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două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referință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</w:p>
    <w:p w14:paraId="0A971724" w14:textId="4EF0890C" w:rsidR="000E7E81" w:rsidRPr="000E7E81" w:rsidRDefault="000E7E81" w:rsidP="000E7E8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</w:p>
    <w:p w14:paraId="4C067682" w14:textId="56F97218" w:rsidR="000E7E81" w:rsidRPr="000E7E81" w:rsidRDefault="000E7E81" w:rsidP="000E7E81">
      <w:pPr>
        <w:spacing w:after="0"/>
        <w:jc w:val="both"/>
        <w:outlineLvl w:val="0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Modalitatea</w:t>
      </w:r>
      <w:proofErr w:type="spellEnd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>aplicare</w:t>
      </w:r>
      <w:proofErr w:type="spellEnd"/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/>
        </w:rPr>
        <w:t xml:space="preserve">: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Persoanele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interesate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expedia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dosarul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aplicare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adresa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e-mail: </w:t>
      </w:r>
      <w:hyperlink r:id="rId5" w:history="1">
        <w:r w:rsidRPr="000E7E81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val="en-US"/>
          </w:rPr>
          <w:t>officehelpage@gmail.com</w:t>
        </w:r>
      </w:hyperlink>
      <w:r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,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mențiunea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:</w:t>
      </w:r>
      <w:r w:rsidRPr="000E7E81">
        <w:rPr>
          <w:rFonts w:ascii="Verdana" w:eastAsia="Times New Roman" w:hAnsi="Verdana" w:cs="Times New Roman"/>
          <w:kern w:val="36"/>
          <w:sz w:val="20"/>
          <w:szCs w:val="20"/>
          <w:lang w:val="en-US"/>
        </w:rPr>
        <w:t xml:space="preserve"> 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„</w:t>
      </w:r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 xml:space="preserve">Specialist/ă </w:t>
      </w:r>
      <w:proofErr w:type="spellStart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>incluziunea</w:t>
      </w:r>
      <w:proofErr w:type="spellEnd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>persoanelor</w:t>
      </w:r>
      <w:proofErr w:type="spellEnd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="00E6090F" w:rsidRPr="00EF2D9D">
        <w:rPr>
          <w:rFonts w:ascii="Verdana" w:eastAsia="Times New Roman" w:hAnsi="Verdana" w:cs="Times New Roman"/>
          <w:sz w:val="20"/>
          <w:szCs w:val="20"/>
          <w:lang w:val="en-US"/>
        </w:rPr>
        <w:t>vârstnice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”</w:t>
      </w:r>
      <w:r>
        <w:rPr>
          <w:rFonts w:ascii="Verdana" w:eastAsia="Times New Roman" w:hAnsi="Verdana" w:cs="Times New Roman"/>
          <w:kern w:val="36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până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la data de 22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mai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2026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ora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17:00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AO HelpAge Moldova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rezervă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dreptul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a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refuza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dosarele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incomplete,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transmise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după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termenul-limită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sau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care nu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corespund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cerințelor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specificate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Evaluarea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candidaților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va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fi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realizată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în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baza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experienței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relevante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ofertei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financiare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și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calității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scrisorii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 xml:space="preserve"> de </w:t>
      </w:r>
      <w:proofErr w:type="spellStart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motivare</w:t>
      </w:r>
      <w:proofErr w:type="spellEnd"/>
      <w:r w:rsidRPr="000E7E81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3FDB5EEA" w14:textId="77777777" w:rsidR="00F12C76" w:rsidRPr="000E7E81" w:rsidRDefault="00F12C76" w:rsidP="000E7E81">
      <w:pPr>
        <w:spacing w:after="0"/>
        <w:ind w:firstLine="709"/>
        <w:jc w:val="both"/>
        <w:rPr>
          <w:rFonts w:ascii="Verdana" w:hAnsi="Verdana"/>
          <w:sz w:val="20"/>
          <w:szCs w:val="20"/>
          <w:lang w:val="en-US"/>
        </w:rPr>
      </w:pPr>
    </w:p>
    <w:sectPr w:rsidR="00F12C76" w:rsidRPr="000E7E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7A6"/>
    <w:multiLevelType w:val="multilevel"/>
    <w:tmpl w:val="0F8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81699"/>
    <w:multiLevelType w:val="multilevel"/>
    <w:tmpl w:val="257C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D68D8"/>
    <w:multiLevelType w:val="multilevel"/>
    <w:tmpl w:val="E83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38"/>
    <w:rsid w:val="000E7E81"/>
    <w:rsid w:val="006C0B77"/>
    <w:rsid w:val="008242FF"/>
    <w:rsid w:val="00870751"/>
    <w:rsid w:val="00922C48"/>
    <w:rsid w:val="00B915B7"/>
    <w:rsid w:val="00D45238"/>
    <w:rsid w:val="00E609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837F"/>
  <w15:chartTrackingRefBased/>
  <w15:docId w15:val="{B5BA161D-6C73-4E02-AEB1-50BF520B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0E7E8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E8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0E7E8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7E81"/>
    <w:rPr>
      <w:b/>
      <w:bCs/>
    </w:rPr>
  </w:style>
  <w:style w:type="character" w:styleId="Hyperlink">
    <w:name w:val="Hyperlink"/>
    <w:basedOn w:val="DefaultParagraphFont"/>
    <w:uiPriority w:val="99"/>
    <w:unhideWhenUsed/>
    <w:rsid w:val="000E7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helpa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Putuntica</dc:creator>
  <cp:keywords/>
  <dc:description/>
  <cp:lastModifiedBy>Cristina Putuntica</cp:lastModifiedBy>
  <cp:revision>3</cp:revision>
  <dcterms:created xsi:type="dcterms:W3CDTF">2026-05-15T05:53:00Z</dcterms:created>
  <dcterms:modified xsi:type="dcterms:W3CDTF">2026-05-15T06:07:00Z</dcterms:modified>
</cp:coreProperties>
</file>