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D8" w:rsidRPr="00DF201A" w:rsidRDefault="00AF0ED8" w:rsidP="00AF0ED8">
      <w:pPr>
        <w:spacing w:after="0" w:line="240" w:lineRule="auto"/>
        <w:ind w:right="-612"/>
        <w:jc w:val="center"/>
        <w:rPr>
          <w:rFonts w:eastAsia="Calibri" w:cstheme="minorHAnsi"/>
          <w:b/>
          <w:bCs/>
        </w:rPr>
      </w:pPr>
      <w:r w:rsidRPr="00DF201A">
        <w:rPr>
          <w:rFonts w:eastAsia="Calibri" w:cstheme="minorHAnsi"/>
          <w:b/>
          <w:bCs/>
        </w:rPr>
        <w:t>Anexă</w:t>
      </w:r>
    </w:p>
    <w:p w:rsidR="00AF0ED8" w:rsidRPr="00DF201A" w:rsidRDefault="00AF0ED8" w:rsidP="00AF0ED8">
      <w:pPr>
        <w:spacing w:after="0" w:line="240" w:lineRule="auto"/>
        <w:ind w:right="-612"/>
        <w:jc w:val="center"/>
        <w:rPr>
          <w:rFonts w:cstheme="minorHAnsi"/>
          <w:b/>
        </w:rPr>
      </w:pPr>
      <w:r w:rsidRPr="00DF201A">
        <w:rPr>
          <w:rFonts w:eastAsia="Calibri" w:cstheme="minorHAnsi"/>
          <w:b/>
        </w:rPr>
        <w:t xml:space="preserve">Contractarea unui consultant care va </w:t>
      </w:r>
      <w:r w:rsidRPr="00DF201A">
        <w:rPr>
          <w:rFonts w:cstheme="minorHAnsi"/>
          <w:b/>
        </w:rPr>
        <w:t>contribui la</w:t>
      </w:r>
      <w:r>
        <w:rPr>
          <w:rFonts w:cstheme="minorHAnsi"/>
          <w:b/>
        </w:rPr>
        <w:t xml:space="preserve"> dezvoltarea politicilor și procedurilor interne de organizare și funcționare a </w:t>
      </w:r>
      <w:r w:rsidRPr="00DF201A">
        <w:rPr>
          <w:rFonts w:cstheme="minorHAnsi"/>
          <w:b/>
          <w:bCs/>
        </w:rPr>
        <w:t>Centrul Regional pentru Reabilitarea Victimelor Violenței în Familie</w:t>
      </w:r>
    </w:p>
    <w:p w:rsidR="00AF0ED8" w:rsidRPr="00DF201A" w:rsidRDefault="00AF0ED8" w:rsidP="00AF0ED8">
      <w:pPr>
        <w:ind w:right="-613"/>
        <w:jc w:val="center"/>
        <w:rPr>
          <w:rFonts w:cstheme="minorHAnsi"/>
          <w:b/>
        </w:rPr>
      </w:pPr>
      <w:r w:rsidRPr="00DF201A">
        <w:rPr>
          <w:rFonts w:cstheme="minorHAnsi"/>
          <w:b/>
        </w:rPr>
        <w:t>OFERTA FINANCIARĂ</w:t>
      </w:r>
      <w:r>
        <w:rPr>
          <w:rFonts w:cstheme="minorHAnsi"/>
          <w:b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104"/>
        <w:tblW w:w="10091" w:type="dxa"/>
        <w:tblLook w:val="04A0" w:firstRow="1" w:lastRow="0" w:firstColumn="1" w:lastColumn="0" w:noHBand="0" w:noVBand="1"/>
      </w:tblPr>
      <w:tblGrid>
        <w:gridCol w:w="708"/>
        <w:gridCol w:w="2965"/>
        <w:gridCol w:w="2847"/>
        <w:gridCol w:w="1559"/>
        <w:gridCol w:w="2012"/>
      </w:tblGrid>
      <w:tr w:rsidR="00AF0ED8" w:rsidRPr="00DF201A" w:rsidTr="00BA3867">
        <w:tc>
          <w:tcPr>
            <w:tcW w:w="708" w:type="dxa"/>
          </w:tcPr>
          <w:p w:rsidR="00AF0ED8" w:rsidRPr="00DF201A" w:rsidRDefault="00AF0ED8" w:rsidP="00BA3867">
            <w:pPr>
              <w:ind w:right="-388"/>
              <w:jc w:val="both"/>
              <w:rPr>
                <w:rFonts w:cstheme="minorHAnsi"/>
                <w:b/>
              </w:rPr>
            </w:pPr>
            <w:r w:rsidRPr="00DF201A">
              <w:rPr>
                <w:rFonts w:cstheme="minorHAnsi"/>
                <w:b/>
              </w:rPr>
              <w:t>Nr.r.</w:t>
            </w:r>
          </w:p>
        </w:tc>
        <w:tc>
          <w:tcPr>
            <w:tcW w:w="2965" w:type="dxa"/>
          </w:tcPr>
          <w:p w:rsidR="00AF0ED8" w:rsidRPr="00DF201A" w:rsidRDefault="00AF0ED8" w:rsidP="00BA3867">
            <w:pPr>
              <w:jc w:val="both"/>
              <w:rPr>
                <w:rFonts w:cstheme="minorHAnsi"/>
                <w:b/>
              </w:rPr>
            </w:pPr>
            <w:r w:rsidRPr="00DF201A">
              <w:rPr>
                <w:rFonts w:cstheme="minorHAnsi"/>
                <w:b/>
              </w:rPr>
              <w:t xml:space="preserve">Sarcini </w:t>
            </w:r>
          </w:p>
        </w:tc>
        <w:tc>
          <w:tcPr>
            <w:tcW w:w="2847" w:type="dxa"/>
          </w:tcPr>
          <w:p w:rsidR="00AF0ED8" w:rsidRPr="00DF201A" w:rsidRDefault="00AF0ED8" w:rsidP="00BA3867">
            <w:pPr>
              <w:jc w:val="both"/>
              <w:rPr>
                <w:rFonts w:cstheme="minorHAnsi"/>
                <w:b/>
              </w:rPr>
            </w:pPr>
            <w:r w:rsidRPr="00DF201A">
              <w:rPr>
                <w:rFonts w:cstheme="minorHAnsi"/>
                <w:b/>
              </w:rPr>
              <w:t>Livrabile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jc w:val="both"/>
              <w:rPr>
                <w:rFonts w:cstheme="minorHAnsi"/>
                <w:b/>
              </w:rPr>
            </w:pPr>
            <w:r w:rsidRPr="00DF201A">
              <w:rPr>
                <w:rFonts w:cstheme="minorHAnsi"/>
                <w:b/>
              </w:rPr>
              <w:t xml:space="preserve">Număr zile consultanță 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jc w:val="both"/>
              <w:rPr>
                <w:rFonts w:cstheme="minorHAnsi"/>
                <w:b/>
              </w:rPr>
            </w:pPr>
            <w:r w:rsidRPr="00DF201A">
              <w:rPr>
                <w:rFonts w:cstheme="minorHAnsi"/>
                <w:b/>
              </w:rPr>
              <w:t xml:space="preserve">Costul zilelor de consultanță, </w:t>
            </w:r>
            <w:r>
              <w:rPr>
                <w:rFonts w:cstheme="minorHAnsi"/>
                <w:b/>
              </w:rPr>
              <w:t>în MDL</w:t>
            </w:r>
            <w:r w:rsidRPr="00DF201A">
              <w:rPr>
                <w:rFonts w:cstheme="minorHAnsi"/>
                <w:b/>
              </w:rPr>
              <w:t>, cu toate taxele incluse</w:t>
            </w: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Pr="00DF201A" w:rsidRDefault="00AF0ED8" w:rsidP="00BA3867">
            <w:pPr>
              <w:suppressAutoHyphens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 xml:space="preserve">Documentarea cu privire la organizarea și funcționarea </w:t>
            </w:r>
            <w:r w:rsidRPr="00DF201A">
              <w:rPr>
                <w:rFonts w:cstheme="minorHAnsi"/>
              </w:rPr>
              <w:t>Centrului (ședință cu părțile interesate, analiza documentelor etc.)</w:t>
            </w:r>
          </w:p>
        </w:tc>
        <w:tc>
          <w:tcPr>
            <w:tcW w:w="2847" w:type="dxa"/>
          </w:tcPr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Recomandări cu privire la modificarea/</w:t>
            </w:r>
          </w:p>
          <w:p w:rsidR="00AF0ED8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completarea regulamentului intern și procedurile interne de organizare și funcționare a Centrului</w:t>
            </w:r>
            <w:r>
              <w:rPr>
                <w:rFonts w:cstheme="minorHAnsi"/>
                <w:bCs/>
              </w:rPr>
              <w:t xml:space="preserve"> </w:t>
            </w:r>
          </w:p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Proces verbal al ședinței de consultare cu personalul Centrului 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ind w:right="-108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Pr="00DF201A" w:rsidRDefault="00AF0ED8" w:rsidP="00BA3867">
            <w:pPr>
              <w:suppressAutoHyphens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 xml:space="preserve">Revizuirea regulamentului intern privind organizarea și funcționarea </w:t>
            </w:r>
            <w:r w:rsidRPr="00DF201A">
              <w:rPr>
                <w:rFonts w:cstheme="minorHAnsi"/>
              </w:rPr>
              <w:t xml:space="preserve">Centrului și consultarea documentului cu părțile interesate </w:t>
            </w:r>
            <w:r>
              <w:rPr>
                <w:rFonts w:cstheme="minorHAnsi"/>
              </w:rPr>
              <w:t>(ședințe de consultare cu personalul Centrului, analiza raportului de evaluare a CNAPSS)</w:t>
            </w:r>
          </w:p>
        </w:tc>
        <w:tc>
          <w:tcPr>
            <w:tcW w:w="2847" w:type="dxa"/>
          </w:tcPr>
          <w:p w:rsidR="00AF0ED8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 xml:space="preserve">Proiect regulament intern revizuit </w:t>
            </w:r>
          </w:p>
          <w:p w:rsidR="00AF0ED8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Proces verbal al ședinței de consultare cu personalul Centrului</w:t>
            </w:r>
          </w:p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ind w:right="-108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Default="00AF0ED8" w:rsidP="00BA3867">
            <w:pPr>
              <w:suppressAutoHyphens/>
              <w:rPr>
                <w:rFonts w:cstheme="minorHAnsi"/>
                <w:lang w:eastAsia="ru-RU"/>
              </w:rPr>
            </w:pPr>
            <w:r w:rsidRPr="00DF201A">
              <w:rPr>
                <w:rFonts w:cstheme="minorHAnsi"/>
                <w:bCs/>
              </w:rPr>
              <w:t xml:space="preserve">Evaluarea necesităților de instruire a personalului din cadrul Centrului </w:t>
            </w:r>
            <w:r>
              <w:rPr>
                <w:rFonts w:cstheme="minorHAnsi"/>
                <w:bCs/>
              </w:rPr>
              <w:t xml:space="preserve">(în baza aplicării chestionarului) </w:t>
            </w:r>
            <w:r w:rsidRPr="00DF201A">
              <w:rPr>
                <w:rFonts w:cstheme="minorHAnsi"/>
                <w:bCs/>
              </w:rPr>
              <w:t>și elaborarea p</w:t>
            </w:r>
            <w:r w:rsidRPr="00DF201A">
              <w:rPr>
                <w:rFonts w:cstheme="minorHAnsi"/>
                <w:lang w:eastAsia="ru-RU"/>
              </w:rPr>
              <w:t xml:space="preserve">lanului </w:t>
            </w:r>
            <w:r>
              <w:rPr>
                <w:rFonts w:cstheme="minorHAnsi"/>
                <w:lang w:eastAsia="ru-RU"/>
              </w:rPr>
              <w:t xml:space="preserve">anual </w:t>
            </w:r>
            <w:r w:rsidRPr="00DF201A">
              <w:rPr>
                <w:rFonts w:cstheme="minorHAnsi"/>
                <w:lang w:eastAsia="ru-RU"/>
              </w:rPr>
              <w:t>de formare profesională inițială și continuă a personalului</w:t>
            </w:r>
            <w:r>
              <w:rPr>
                <w:rFonts w:cstheme="minorHAnsi"/>
                <w:lang w:eastAsia="ru-RU"/>
              </w:rPr>
              <w:t xml:space="preserve"> </w:t>
            </w:r>
          </w:p>
          <w:p w:rsidR="00AF0ED8" w:rsidRPr="00DF201A" w:rsidRDefault="00AF0ED8" w:rsidP="00BA3867">
            <w:pPr>
              <w:suppressAutoHyphens/>
              <w:rPr>
                <w:rFonts w:cstheme="minorHAnsi"/>
                <w:bCs/>
              </w:rPr>
            </w:pPr>
          </w:p>
        </w:tc>
        <w:tc>
          <w:tcPr>
            <w:tcW w:w="2847" w:type="dxa"/>
          </w:tcPr>
          <w:p w:rsidR="00AF0ED8" w:rsidRDefault="00AF0ED8" w:rsidP="00AF0ED8">
            <w:pPr>
              <w:pStyle w:val="a5"/>
              <w:numPr>
                <w:ilvl w:val="0"/>
                <w:numId w:val="3"/>
              </w:numPr>
              <w:suppressAutoHyphens/>
              <w:ind w:left="325"/>
              <w:rPr>
                <w:rFonts w:cstheme="minorHAnsi"/>
                <w:lang w:val="ro-RO" w:eastAsia="ru-RU"/>
              </w:rPr>
            </w:pPr>
            <w:r>
              <w:rPr>
                <w:rFonts w:cstheme="minorHAnsi"/>
                <w:lang w:val="ro-RO" w:eastAsia="ru-RU"/>
              </w:rPr>
              <w:t xml:space="preserve">Chestionar de evaluare a necesităților de formare și ghid de interviu 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3"/>
              </w:numPr>
              <w:suppressAutoHyphens/>
              <w:ind w:left="325"/>
              <w:rPr>
                <w:rFonts w:cstheme="minorHAnsi"/>
                <w:lang w:val="ro-RO" w:eastAsia="ru-RU"/>
              </w:rPr>
            </w:pPr>
            <w:r w:rsidRPr="00DF201A">
              <w:rPr>
                <w:rFonts w:cstheme="minorHAnsi"/>
                <w:lang w:val="ro-RO" w:eastAsia="ru-RU"/>
              </w:rPr>
              <w:t xml:space="preserve">Raport evaluare necesități de formare a personalului 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3"/>
              </w:numPr>
              <w:suppressAutoHyphens/>
              <w:ind w:left="325"/>
              <w:rPr>
                <w:rFonts w:cstheme="minorHAnsi"/>
                <w:lang w:val="ro-RO"/>
              </w:rPr>
            </w:pPr>
            <w:r w:rsidRPr="00DF201A">
              <w:rPr>
                <w:rFonts w:cstheme="minorHAnsi"/>
                <w:lang w:val="ro-RO" w:eastAsia="ru-RU"/>
              </w:rPr>
              <w:t xml:space="preserve">Plan </w:t>
            </w:r>
            <w:r>
              <w:rPr>
                <w:rFonts w:cstheme="minorHAnsi"/>
                <w:lang w:val="ro-RO" w:eastAsia="ru-RU"/>
              </w:rPr>
              <w:t xml:space="preserve">anual </w:t>
            </w:r>
            <w:r w:rsidRPr="00DF201A">
              <w:rPr>
                <w:rFonts w:cstheme="minorHAnsi"/>
                <w:lang w:val="ro-RO" w:eastAsia="ru-RU"/>
              </w:rPr>
              <w:t xml:space="preserve">de formare profesională inițială și continuă a personalului 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ind w:right="-108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Elaborarea politicilor și procedurilor interne de organizare și funcționare a Centrului: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</w:rPr>
            </w:pPr>
            <w:r w:rsidRPr="00156F62">
              <w:rPr>
                <w:rStyle w:val="aa"/>
                <w:rFonts w:cstheme="minorHAnsi"/>
                <w:shd w:val="clear" w:color="auto" w:fill="FFFFFF"/>
                <w:lang w:val="ro-RO"/>
              </w:rPr>
              <w:t>Politica</w:t>
            </w:r>
            <w:r w:rsidRPr="00156F62">
              <w:rPr>
                <w:rFonts w:cstheme="minorHAnsi"/>
                <w:shd w:val="clear" w:color="auto" w:fill="FFFFFF"/>
              </w:rPr>
              <w:t> privind recrutarea, selecția și </w:t>
            </w:r>
            <w:r w:rsidRPr="00156F62">
              <w:rPr>
                <w:rStyle w:val="aa"/>
                <w:rFonts w:cstheme="minorHAnsi"/>
                <w:shd w:val="clear" w:color="auto" w:fill="FFFFFF"/>
                <w:lang w:val="ro-RO"/>
              </w:rPr>
              <w:t>angajarea personalului în cadrul Centrului;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</w:rPr>
              <w:t>Procedura de protecția a datelor cu caracter personal în baza Legii 133/2011 privind protecția datelor cu caracter personal</w:t>
            </w:r>
            <w:r w:rsidRPr="00156F62">
              <w:rPr>
                <w:rFonts w:cstheme="minorHAnsi"/>
                <w:bCs/>
              </w:rPr>
              <w:t>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  <w:lang w:eastAsia="ru-RU"/>
              </w:rPr>
              <w:t>Procedura de evaluare anuală a competențelor profesionale;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  <w:lang w:eastAsia="ru-RU"/>
              </w:rPr>
              <w:lastRenderedPageBreak/>
              <w:t>Procedura de supervizare profesională a personalului;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  <w:bCs/>
              </w:rPr>
              <w:t>Procedura de evaluare și monitorizare a calității serviciilor prestate;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  <w:bCs/>
              </w:rPr>
              <w:t>Politica de prevenire și gestionare a conflictelor dintre personal și beneficiari;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  <w:lang w:eastAsia="ru-RU"/>
              </w:rPr>
              <w:t xml:space="preserve">Procedura cu privire la protecția beneficiarilor de orice formă de </w:t>
            </w:r>
            <w:r w:rsidRPr="00156F62">
              <w:rPr>
                <w:rFonts w:cstheme="minorHAnsi"/>
                <w:shd w:val="clear" w:color="auto" w:fill="FFFFFF"/>
              </w:rPr>
              <w:t>violență, neglijare, exploatare și de trafic;</w:t>
            </w:r>
          </w:p>
          <w:p w:rsidR="00AF0ED8" w:rsidRPr="00156F62" w:rsidRDefault="00AF0ED8" w:rsidP="00AF0ED8">
            <w:pPr>
              <w:pStyle w:val="a5"/>
              <w:numPr>
                <w:ilvl w:val="0"/>
                <w:numId w:val="2"/>
              </w:numPr>
              <w:suppressAutoHyphens/>
              <w:ind w:left="313"/>
              <w:rPr>
                <w:rFonts w:cstheme="minorHAnsi"/>
                <w:bCs/>
              </w:rPr>
            </w:pPr>
            <w:r w:rsidRPr="00156F62">
              <w:rPr>
                <w:rFonts w:cstheme="minorHAnsi"/>
                <w:bCs/>
              </w:rPr>
              <w:t xml:space="preserve">Procedura de depozitare, distribuire, administrare a medicamentelor și gestionarea deșeurilor medicale. </w:t>
            </w:r>
          </w:p>
        </w:tc>
        <w:tc>
          <w:tcPr>
            <w:tcW w:w="2847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Style w:val="aa"/>
                <w:rFonts w:cstheme="minorHAnsi"/>
                <w:i w:val="0"/>
                <w:iCs w:val="0"/>
                <w:lang w:val="ro-RO"/>
              </w:rPr>
            </w:pPr>
            <w:r w:rsidRPr="00DF201A">
              <w:rPr>
                <w:rStyle w:val="aa"/>
                <w:rFonts w:cstheme="minorHAnsi"/>
                <w:shd w:val="clear" w:color="auto" w:fill="FFFFFF"/>
                <w:lang w:val="ro-RO"/>
              </w:rPr>
              <w:lastRenderedPageBreak/>
              <w:t>Politica</w:t>
            </w:r>
            <w:r w:rsidRPr="00DF201A">
              <w:rPr>
                <w:rFonts w:cstheme="minorHAnsi"/>
                <w:shd w:val="clear" w:color="auto" w:fill="FFFFFF"/>
                <w:lang w:val="ro-RO"/>
              </w:rPr>
              <w:t> privind recrutarea, selecția și </w:t>
            </w:r>
            <w:r w:rsidRPr="00DF201A">
              <w:rPr>
                <w:rStyle w:val="aa"/>
                <w:rFonts w:cstheme="minorHAnsi"/>
                <w:shd w:val="clear" w:color="auto" w:fill="FFFFFF"/>
                <w:lang w:val="ro-RO"/>
              </w:rPr>
              <w:t>angajarea personalului în cadrul Centrului;</w:t>
            </w:r>
          </w:p>
          <w:p w:rsidR="00AF0ED8" w:rsidRPr="002552BD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Fonts w:cstheme="minorHAnsi"/>
                <w:lang w:val="ro-RO"/>
              </w:rPr>
            </w:pPr>
            <w:r w:rsidRPr="00DF201A">
              <w:rPr>
                <w:rFonts w:cstheme="minorHAnsi"/>
                <w:lang w:val="ro-RO"/>
              </w:rPr>
              <w:t>Procedura de protecția a datelor cu caracter personal</w:t>
            </w:r>
            <w:r w:rsidRPr="00DF201A">
              <w:rPr>
                <w:rFonts w:cstheme="minorHAnsi"/>
                <w:bCs/>
                <w:lang w:val="ro-RO"/>
              </w:rPr>
              <w:t>;</w:t>
            </w:r>
          </w:p>
          <w:p w:rsidR="00AF0ED8" w:rsidRPr="002552BD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Fonts w:cstheme="minorHAnsi"/>
                <w:lang w:val="ro-RO"/>
              </w:rPr>
            </w:pPr>
            <w:r w:rsidRPr="002552BD">
              <w:rPr>
                <w:rFonts w:cstheme="minorHAnsi"/>
                <w:lang w:val="ro-RO" w:eastAsia="ru-RU"/>
              </w:rPr>
              <w:t>Procedura de evaluare anuală a competențelor profesionale;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Fonts w:cstheme="minorHAnsi"/>
                <w:bCs/>
                <w:lang w:val="ro-RO"/>
              </w:rPr>
            </w:pPr>
            <w:r w:rsidRPr="00DF201A">
              <w:rPr>
                <w:rFonts w:cstheme="minorHAnsi"/>
                <w:lang w:val="ro-RO" w:eastAsia="ru-RU"/>
              </w:rPr>
              <w:t>Procedura de supervizare profesională a personalului;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Fonts w:cstheme="minorHAnsi"/>
                <w:bCs/>
                <w:lang w:val="ro-RO"/>
              </w:rPr>
            </w:pPr>
            <w:r w:rsidRPr="00DF201A">
              <w:rPr>
                <w:rFonts w:cstheme="minorHAnsi"/>
                <w:bCs/>
                <w:lang w:val="ro-RO"/>
              </w:rPr>
              <w:t>Procedura de evaluare și monitorizare a calității serviciilor prestate;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Fonts w:cstheme="minorHAnsi"/>
                <w:bCs/>
                <w:lang w:val="ro-RO"/>
              </w:rPr>
            </w:pPr>
            <w:r w:rsidRPr="00DF201A">
              <w:rPr>
                <w:rFonts w:cstheme="minorHAnsi"/>
                <w:bCs/>
                <w:lang w:val="ro-RO"/>
              </w:rPr>
              <w:lastRenderedPageBreak/>
              <w:t>Politica de prevenire și gestionare a conflictelor dintre personal și beneficiari;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4"/>
              </w:numPr>
              <w:suppressAutoHyphens/>
              <w:ind w:left="325"/>
              <w:rPr>
                <w:rFonts w:cstheme="minorHAnsi"/>
                <w:bCs/>
                <w:lang w:val="ro-RO"/>
              </w:rPr>
            </w:pPr>
            <w:r w:rsidRPr="00DF201A">
              <w:rPr>
                <w:rFonts w:cstheme="minorHAnsi"/>
                <w:lang w:val="ro-RO" w:eastAsia="ru-RU"/>
              </w:rPr>
              <w:t xml:space="preserve">Procedura cu privire la protecția beneficiarilor de orice formă de </w:t>
            </w:r>
            <w:r w:rsidRPr="00DF201A">
              <w:rPr>
                <w:rFonts w:cstheme="minorHAnsi"/>
                <w:shd w:val="clear" w:color="auto" w:fill="FFFFFF"/>
                <w:lang w:val="ro-RO"/>
              </w:rPr>
              <w:t>violență, neglijare, exploatare și de trafic;</w:t>
            </w:r>
          </w:p>
          <w:p w:rsidR="00AF0ED8" w:rsidRPr="00DF201A" w:rsidRDefault="00AF0ED8" w:rsidP="00AF0ED8">
            <w:pPr>
              <w:pStyle w:val="a5"/>
              <w:numPr>
                <w:ilvl w:val="0"/>
                <w:numId w:val="4"/>
              </w:numPr>
              <w:ind w:left="325"/>
              <w:rPr>
                <w:rFonts w:cstheme="minorHAnsi"/>
                <w:lang w:val="ro-RO"/>
              </w:rPr>
            </w:pPr>
            <w:r w:rsidRPr="00DF201A">
              <w:rPr>
                <w:rFonts w:cstheme="minorHAnsi"/>
                <w:bCs/>
                <w:lang w:val="ro-RO"/>
              </w:rPr>
              <w:t>Procedura de depozitare, distribuire, administrare a medicamentelor și gestionarea deșeurilor medicale.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jc w:val="center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lastRenderedPageBreak/>
              <w:t>8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 xml:space="preserve">Consultarea procedurilor interne în cadrul ședințelor de lucru cu părțile interesate și revizuirea documentelor în baza recomandărilor înaintate </w:t>
            </w:r>
          </w:p>
        </w:tc>
        <w:tc>
          <w:tcPr>
            <w:tcW w:w="2847" w:type="dxa"/>
          </w:tcPr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Procedurile menționate la pct.4 revizuite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jc w:val="center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2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Realizarea cursului de formare (cu prezență fizică) pentru personalul Centrului privind politicile și procedurile interne de organizare și funcționare a Cent</w:t>
            </w:r>
            <w:r>
              <w:rPr>
                <w:rFonts w:cstheme="minorHAnsi"/>
                <w:bCs/>
              </w:rPr>
              <w:t>rului (1 zi pentru pregătire, 2</w:t>
            </w:r>
            <w:r w:rsidRPr="00DF201A">
              <w:rPr>
                <w:rFonts w:cstheme="minorHAnsi"/>
                <w:bCs/>
              </w:rPr>
              <w:t xml:space="preserve"> zile de </w:t>
            </w:r>
            <w:r>
              <w:rPr>
                <w:rFonts w:cstheme="minorHAnsi"/>
                <w:bCs/>
              </w:rPr>
              <w:t>training, 1 raportare</w:t>
            </w:r>
            <w:r w:rsidRPr="00DF201A">
              <w:rPr>
                <w:rFonts w:cstheme="minorHAnsi"/>
                <w:bCs/>
              </w:rPr>
              <w:t>)</w:t>
            </w:r>
          </w:p>
        </w:tc>
        <w:tc>
          <w:tcPr>
            <w:tcW w:w="2847" w:type="dxa"/>
          </w:tcPr>
          <w:p w:rsidR="00AF0ED8" w:rsidRPr="00DF201A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 xml:space="preserve">Agendă </w:t>
            </w:r>
          </w:p>
          <w:p w:rsidR="00AF0ED8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Prezentări PP</w:t>
            </w:r>
          </w:p>
          <w:p w:rsidR="00AF0ED8" w:rsidRPr="00DF201A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Raport cu privire la evaluarea post-training 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Pr="00DF201A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Realizarea programului de formare (40 ore), în baza necesităților de instruire identificate în cadrul evaluării nevoilor de formare (sarcina 3)</w:t>
            </w:r>
          </w:p>
        </w:tc>
        <w:tc>
          <w:tcPr>
            <w:tcW w:w="2847" w:type="dxa"/>
          </w:tcPr>
          <w:p w:rsidR="00AF0ED8" w:rsidRPr="00DF201A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 xml:space="preserve">Agendă </w:t>
            </w:r>
          </w:p>
          <w:p w:rsidR="00AF0ED8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 w:rsidRPr="00DF201A">
              <w:rPr>
                <w:rFonts w:cstheme="minorHAnsi"/>
                <w:bCs/>
              </w:rPr>
              <w:t>Prezentări PP</w:t>
            </w:r>
          </w:p>
          <w:p w:rsidR="00AF0ED8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Materiale de instruire</w:t>
            </w:r>
          </w:p>
          <w:p w:rsidR="00AF0ED8" w:rsidRPr="00DF201A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Raport cu privire la evaluarea post-training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suppressAutoHyphens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c>
          <w:tcPr>
            <w:tcW w:w="708" w:type="dxa"/>
          </w:tcPr>
          <w:p w:rsidR="00AF0ED8" w:rsidRPr="00DF201A" w:rsidRDefault="00AF0ED8" w:rsidP="00AF0ED8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suppressAutoHyphens/>
              <w:spacing w:line="100" w:lineRule="atLeast"/>
              <w:ind w:right="-613"/>
              <w:contextualSpacing w:val="0"/>
              <w:rPr>
                <w:rFonts w:cstheme="minorHAnsi"/>
                <w:lang w:val="ro-RO"/>
              </w:rPr>
            </w:pPr>
          </w:p>
        </w:tc>
        <w:tc>
          <w:tcPr>
            <w:tcW w:w="2965" w:type="dxa"/>
          </w:tcPr>
          <w:p w:rsidR="00AF0ED8" w:rsidRDefault="00AF0ED8" w:rsidP="00BA3867">
            <w:pPr>
              <w:suppressAutoHyphens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Elaborarea Raportului final de consultanță </w:t>
            </w:r>
          </w:p>
        </w:tc>
        <w:tc>
          <w:tcPr>
            <w:tcW w:w="2847" w:type="dxa"/>
          </w:tcPr>
          <w:p w:rsidR="00AF0ED8" w:rsidRPr="00DF201A" w:rsidRDefault="00AF0ED8" w:rsidP="00BA3867">
            <w:pPr>
              <w:suppressAutoHyphens/>
              <w:ind w:right="33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Raportul final de consultanță </w:t>
            </w:r>
          </w:p>
        </w:tc>
        <w:tc>
          <w:tcPr>
            <w:tcW w:w="1559" w:type="dxa"/>
          </w:tcPr>
          <w:p w:rsidR="00AF0ED8" w:rsidRDefault="00AF0ED8" w:rsidP="00BA3867">
            <w:pPr>
              <w:suppressAutoHyphens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/>
              <w:jc w:val="center"/>
              <w:rPr>
                <w:rFonts w:cstheme="minorHAnsi"/>
              </w:rPr>
            </w:pPr>
          </w:p>
        </w:tc>
      </w:tr>
      <w:tr w:rsidR="00AF0ED8" w:rsidRPr="00DF201A" w:rsidTr="00BA3867">
        <w:trPr>
          <w:trHeight w:val="325"/>
        </w:trPr>
        <w:tc>
          <w:tcPr>
            <w:tcW w:w="6520" w:type="dxa"/>
            <w:gridSpan w:val="3"/>
          </w:tcPr>
          <w:p w:rsidR="00AF0ED8" w:rsidRPr="00DF201A" w:rsidRDefault="00AF0ED8" w:rsidP="00BA3867">
            <w:pPr>
              <w:pStyle w:val="a5"/>
              <w:ind w:left="317" w:right="-613"/>
              <w:jc w:val="center"/>
              <w:rPr>
                <w:rFonts w:cstheme="minorHAnsi"/>
                <w:b/>
                <w:lang w:val="ro-RO"/>
              </w:rPr>
            </w:pPr>
            <w:r w:rsidRPr="00DF201A">
              <w:rPr>
                <w:rFonts w:cstheme="minorHAnsi"/>
                <w:b/>
                <w:lang w:val="ro-RO"/>
              </w:rPr>
              <w:t>TOTAL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1559" w:type="dxa"/>
          </w:tcPr>
          <w:p w:rsidR="00AF0ED8" w:rsidRPr="00DF201A" w:rsidRDefault="00AF0ED8" w:rsidP="00BA3867">
            <w:pPr>
              <w:ind w:right="-10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37 </w:t>
            </w:r>
            <w:r w:rsidRPr="00DF201A">
              <w:rPr>
                <w:rFonts w:cstheme="minorHAnsi"/>
                <w:b/>
              </w:rPr>
              <w:t>zile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12" w:type="dxa"/>
          </w:tcPr>
          <w:p w:rsidR="00AF0ED8" w:rsidRPr="00DF201A" w:rsidRDefault="00AF0ED8" w:rsidP="00BA3867">
            <w:pPr>
              <w:ind w:left="-43" w:right="-7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AF0ED8" w:rsidRPr="00DF201A" w:rsidRDefault="00AF0ED8" w:rsidP="00AF0ED8">
      <w:pPr>
        <w:ind w:right="-613"/>
        <w:jc w:val="center"/>
        <w:rPr>
          <w:rFonts w:cstheme="minorHAnsi"/>
          <w:b/>
        </w:rPr>
      </w:pPr>
      <w:bookmarkStart w:id="0" w:name="_GoBack"/>
      <w:bookmarkEnd w:id="0"/>
    </w:p>
    <w:p w:rsidR="00AF0ED8" w:rsidRPr="00DF201A" w:rsidRDefault="00AF0ED8" w:rsidP="00AF0ED8">
      <w:pPr>
        <w:spacing w:after="120"/>
        <w:ind w:right="-613"/>
        <w:jc w:val="both"/>
        <w:rPr>
          <w:rFonts w:cstheme="minorHAnsi"/>
          <w:b/>
        </w:rPr>
      </w:pPr>
      <w:r w:rsidRPr="00DF201A">
        <w:rPr>
          <w:rFonts w:cstheme="minorHAnsi"/>
          <w:b/>
        </w:rPr>
        <w:t>Numele, prenumele aplicantului/aplicantei___________________</w:t>
      </w:r>
    </w:p>
    <w:p w:rsidR="00AF0ED8" w:rsidRPr="00DF201A" w:rsidRDefault="00AF0ED8" w:rsidP="00AF0ED8">
      <w:pPr>
        <w:spacing w:after="120"/>
        <w:ind w:right="-613"/>
        <w:jc w:val="both"/>
        <w:rPr>
          <w:rFonts w:cstheme="minorHAnsi"/>
          <w:b/>
        </w:rPr>
      </w:pPr>
      <w:r w:rsidRPr="00DF201A">
        <w:rPr>
          <w:rFonts w:cstheme="minorHAnsi"/>
          <w:b/>
        </w:rPr>
        <w:t xml:space="preserve">Semnătura____________________  </w:t>
      </w:r>
    </w:p>
    <w:tbl>
      <w:tblPr>
        <w:tblStyle w:val="a7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AF0ED8" w:rsidRPr="00DF201A" w:rsidTr="00BA3867">
        <w:tc>
          <w:tcPr>
            <w:tcW w:w="10423" w:type="dxa"/>
          </w:tcPr>
          <w:p w:rsidR="00AF0ED8" w:rsidRPr="00DF201A" w:rsidRDefault="00AF0ED8" w:rsidP="00BA3867">
            <w:pPr>
              <w:pStyle w:val="a9"/>
              <w:ind w:left="-108" w:right="-613"/>
              <w:jc w:val="both"/>
              <w:rPr>
                <w:rFonts w:asciiTheme="minorHAnsi" w:hAnsiTheme="minorHAnsi" w:cstheme="minorHAnsi"/>
                <w:lang w:val="ro-RO"/>
              </w:rPr>
            </w:pPr>
            <w:r w:rsidRPr="00DF201A">
              <w:rPr>
                <w:rFonts w:asciiTheme="minorHAnsi" w:hAnsiTheme="minorHAnsi" w:cstheme="minorHAnsi"/>
                <w:b/>
                <w:lang w:val="ro-RO"/>
              </w:rPr>
              <w:t xml:space="preserve">Data ________________________       </w:t>
            </w:r>
          </w:p>
        </w:tc>
        <w:tc>
          <w:tcPr>
            <w:tcW w:w="4099" w:type="dxa"/>
          </w:tcPr>
          <w:p w:rsidR="00AF0ED8" w:rsidRPr="00DF201A" w:rsidRDefault="00AF0ED8" w:rsidP="00BA3867">
            <w:pPr>
              <w:pStyle w:val="a9"/>
              <w:ind w:left="426" w:right="-613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AF0ED8" w:rsidRPr="00DF201A" w:rsidRDefault="00AF0ED8" w:rsidP="00AF0ED8">
      <w:pPr>
        <w:pStyle w:val="a8"/>
        <w:shd w:val="clear" w:color="auto" w:fill="FFFFFF"/>
        <w:spacing w:before="0" w:beforeAutospacing="0" w:after="0" w:afterAutospacing="0"/>
        <w:ind w:left="720" w:right="-613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8B7A74" w:rsidRDefault="008B7A74"/>
    <w:sectPr w:rsidR="008B7A74" w:rsidSect="00AF0ED8">
      <w:footerReference w:type="default" r:id="rId5"/>
      <w:pgSz w:w="11906" w:h="16838"/>
      <w:pgMar w:top="709" w:right="1440" w:bottom="851" w:left="1440" w:header="708" w:footer="18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16" w:rsidRDefault="00AF0ED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F4F4F" wp14:editId="7F226CAD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050" cy="30543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30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816" w:rsidRDefault="00AF0ED8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F4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4pt;margin-top:60.3pt;width:21.5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" stroked="f">
              <v:textbox>
                <w:txbxContent>
                  <w:p w:rsidR="00BF2816" w:rsidRDefault="00AF0ED8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E53"/>
    <w:multiLevelType w:val="hybridMultilevel"/>
    <w:tmpl w:val="19DA0996"/>
    <w:lvl w:ilvl="0" w:tplc="04090011">
      <w:start w:val="1"/>
      <w:numFmt w:val="decimal"/>
      <w:lvlText w:val="%1)"/>
      <w:lvlJc w:val="left"/>
      <w:pPr>
        <w:ind w:left="673" w:hanging="360"/>
      </w:p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4A212811"/>
    <w:multiLevelType w:val="hybridMultilevel"/>
    <w:tmpl w:val="9F4E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DB3"/>
    <w:multiLevelType w:val="hybridMultilevel"/>
    <w:tmpl w:val="09845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67AD"/>
    <w:multiLevelType w:val="hybridMultilevel"/>
    <w:tmpl w:val="CA6C1958"/>
    <w:lvl w:ilvl="0" w:tplc="04090011">
      <w:start w:val="1"/>
      <w:numFmt w:val="decimal"/>
      <w:lvlText w:val="%1)"/>
      <w:lvlJc w:val="left"/>
      <w:pPr>
        <w:ind w:left="673" w:hanging="360"/>
      </w:p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8"/>
    <w:rsid w:val="008B7A74"/>
    <w:rsid w:val="00A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A1CAD-AF6C-4B3C-91AD-2706EC0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8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0ED8"/>
    <w:rPr>
      <w:lang w:val="ro-RO"/>
    </w:rPr>
  </w:style>
  <w:style w:type="paragraph" w:styleId="a5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a"/>
    <w:link w:val="a6"/>
    <w:uiPriority w:val="34"/>
    <w:qFormat/>
    <w:rsid w:val="00AF0ED8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aliases w:val="Bullet Знак,Bullet List Знак,FooterText Знак,List Paragraph1 Знак,Dot pt Знак,F5 List Paragraph Знак,List Paragraph Char Char Char Знак,Indicator Text Знак,Colorful List - Accent 11 Знак,Numbered Para 1 Знак,Bullet 1 Знак"/>
    <w:link w:val="a5"/>
    <w:uiPriority w:val="34"/>
    <w:rsid w:val="00AF0ED8"/>
    <w:rPr>
      <w:lang w:val="en-US"/>
    </w:rPr>
  </w:style>
  <w:style w:type="table" w:styleId="a7">
    <w:name w:val="Table Grid"/>
    <w:basedOn w:val="a1"/>
    <w:uiPriority w:val="59"/>
    <w:rsid w:val="00AF0E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F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AF0ED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a">
    <w:name w:val="Emphasis"/>
    <w:basedOn w:val="a0"/>
    <w:uiPriority w:val="20"/>
    <w:qFormat/>
    <w:rsid w:val="00AF0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2022-02-24T09:42:00Z</dcterms:created>
  <dcterms:modified xsi:type="dcterms:W3CDTF">2022-02-24T09:43:00Z</dcterms:modified>
</cp:coreProperties>
</file>