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99DB" w14:textId="77777777" w:rsidR="005C0FA7" w:rsidRPr="0025593E" w:rsidRDefault="005C0FA7" w:rsidP="00D40119">
      <w:pPr>
        <w:spacing w:after="200" w:line="240" w:lineRule="auto"/>
        <w:jc w:val="right"/>
        <w:rPr>
          <w:rFonts w:ascii="Noto Sans" w:hAnsi="Noto Sans" w:cs="Noto Sans"/>
          <w:b/>
          <w:bCs/>
          <w:sz w:val="16"/>
          <w:szCs w:val="16"/>
        </w:rPr>
      </w:pPr>
      <w:r w:rsidRPr="0025593E">
        <w:rPr>
          <w:rFonts w:ascii="Noto Sans" w:hAnsi="Noto Sans" w:cs="Noto Sans"/>
          <w:b/>
          <w:bCs/>
          <w:sz w:val="16"/>
          <w:szCs w:val="16"/>
        </w:rPr>
        <w:t>TERMENI DE REFERINȚĂ</w:t>
      </w:r>
    </w:p>
    <w:p w14:paraId="16127EFB" w14:textId="77777777" w:rsidR="00D40119" w:rsidRPr="0025593E" w:rsidRDefault="005C0FA7" w:rsidP="00D40119">
      <w:pPr>
        <w:spacing w:after="200" w:line="240" w:lineRule="auto"/>
        <w:jc w:val="right"/>
        <w:rPr>
          <w:rFonts w:ascii="Noto Sans" w:hAnsi="Noto Sans" w:cs="Noto Sans"/>
          <w:sz w:val="16"/>
          <w:szCs w:val="16"/>
        </w:rPr>
      </w:pPr>
      <w:proofErr w:type="spellStart"/>
      <w:r w:rsidRPr="0025593E">
        <w:rPr>
          <w:rFonts w:ascii="Noto Sans" w:hAnsi="Noto Sans" w:cs="Noto Sans"/>
          <w:sz w:val="16"/>
          <w:szCs w:val="16"/>
        </w:rPr>
        <w:t>privind</w:t>
      </w:r>
      <w:proofErr w:type="spellEnd"/>
      <w:r w:rsidRPr="0025593E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Pr="0025593E">
        <w:rPr>
          <w:rFonts w:ascii="Noto Sans" w:hAnsi="Noto Sans" w:cs="Noto Sans"/>
          <w:sz w:val="16"/>
          <w:szCs w:val="16"/>
        </w:rPr>
        <w:t>achiziția</w:t>
      </w:r>
      <w:proofErr w:type="spellEnd"/>
      <w:r w:rsidRPr="0025593E">
        <w:rPr>
          <w:rFonts w:ascii="Noto Sans" w:hAnsi="Noto Sans" w:cs="Noto Sans"/>
          <w:sz w:val="16"/>
          <w:szCs w:val="16"/>
        </w:rPr>
        <w:t xml:space="preserve"> de </w:t>
      </w:r>
      <w:proofErr w:type="spellStart"/>
      <w:r w:rsidRPr="0025593E">
        <w:rPr>
          <w:rFonts w:ascii="Noto Sans" w:hAnsi="Noto Sans" w:cs="Noto Sans"/>
          <w:sz w:val="16"/>
          <w:szCs w:val="16"/>
        </w:rPr>
        <w:t>echipamente</w:t>
      </w:r>
      <w:proofErr w:type="spellEnd"/>
      <w:r w:rsidRPr="0025593E">
        <w:rPr>
          <w:rFonts w:ascii="Noto Sans" w:hAnsi="Noto Sans" w:cs="Noto Sans"/>
          <w:sz w:val="16"/>
          <w:szCs w:val="16"/>
        </w:rPr>
        <w:t xml:space="preserve"> de </w:t>
      </w:r>
      <w:proofErr w:type="spellStart"/>
      <w:r w:rsidRPr="0025593E">
        <w:rPr>
          <w:rFonts w:ascii="Noto Sans" w:hAnsi="Noto Sans" w:cs="Noto Sans"/>
          <w:sz w:val="16"/>
          <w:szCs w:val="16"/>
        </w:rPr>
        <w:t>birou</w:t>
      </w:r>
      <w:proofErr w:type="spellEnd"/>
      <w:r w:rsidRPr="0025593E">
        <w:rPr>
          <w:rFonts w:ascii="Noto Sans" w:hAnsi="Noto Sans" w:cs="Noto Sans"/>
          <w:sz w:val="16"/>
          <w:szCs w:val="16"/>
        </w:rPr>
        <w:t xml:space="preserve"> </w:t>
      </w:r>
      <w:proofErr w:type="spellStart"/>
      <w:r w:rsidRPr="0025593E">
        <w:rPr>
          <w:rFonts w:ascii="Noto Sans" w:hAnsi="Noto Sans" w:cs="Noto Sans"/>
          <w:b/>
          <w:bCs/>
          <w:sz w:val="16"/>
          <w:szCs w:val="16"/>
        </w:rPr>
        <w:t>Lotul</w:t>
      </w:r>
      <w:proofErr w:type="spellEnd"/>
      <w:r w:rsidRPr="0025593E">
        <w:rPr>
          <w:rFonts w:ascii="Noto Sans" w:hAnsi="Noto Sans" w:cs="Noto Sans"/>
          <w:b/>
          <w:bCs/>
          <w:sz w:val="16"/>
          <w:szCs w:val="16"/>
        </w:rPr>
        <w:t xml:space="preserve"> I — </w:t>
      </w:r>
      <w:proofErr w:type="spellStart"/>
      <w:r w:rsidRPr="0025593E">
        <w:rPr>
          <w:rFonts w:ascii="Noto Sans" w:hAnsi="Noto Sans" w:cs="Noto Sans"/>
          <w:b/>
          <w:bCs/>
          <w:sz w:val="16"/>
          <w:szCs w:val="16"/>
        </w:rPr>
        <w:t>Echipament</w:t>
      </w:r>
      <w:proofErr w:type="spellEnd"/>
      <w:r w:rsidRPr="0025593E">
        <w:rPr>
          <w:rFonts w:ascii="Noto Sans" w:hAnsi="Noto Sans" w:cs="Noto Sans"/>
          <w:b/>
          <w:bCs/>
          <w:sz w:val="16"/>
          <w:szCs w:val="16"/>
        </w:rPr>
        <w:t xml:space="preserve"> </w:t>
      </w:r>
      <w:proofErr w:type="spellStart"/>
      <w:r w:rsidRPr="0025593E">
        <w:rPr>
          <w:rFonts w:ascii="Noto Sans" w:hAnsi="Noto Sans" w:cs="Noto Sans"/>
          <w:b/>
          <w:bCs/>
          <w:sz w:val="16"/>
          <w:szCs w:val="16"/>
        </w:rPr>
        <w:t>multifuncțional</w:t>
      </w:r>
      <w:proofErr w:type="spellEnd"/>
      <w:r w:rsidRPr="0025593E">
        <w:rPr>
          <w:rFonts w:ascii="Noto Sans" w:hAnsi="Noto Sans" w:cs="Noto Sans"/>
          <w:b/>
          <w:bCs/>
          <w:sz w:val="16"/>
          <w:szCs w:val="16"/>
        </w:rPr>
        <w:t xml:space="preserve"> laser color A3</w:t>
      </w:r>
    </w:p>
    <w:p w14:paraId="05AF0E0E" w14:textId="76BB9A11" w:rsidR="00CA3C98" w:rsidRPr="0025593E" w:rsidRDefault="005C0FA7" w:rsidP="00D40119">
      <w:pPr>
        <w:spacing w:after="200" w:line="240" w:lineRule="auto"/>
        <w:jc w:val="right"/>
        <w:rPr>
          <w:rFonts w:ascii="Noto Sans" w:hAnsi="Noto Sans" w:cs="Noto Sans"/>
          <w:sz w:val="16"/>
          <w:szCs w:val="16"/>
        </w:rPr>
      </w:pPr>
      <w:proofErr w:type="spellStart"/>
      <w:r w:rsidRPr="0025593E">
        <w:rPr>
          <w:rFonts w:ascii="Noto Sans" w:hAnsi="Noto Sans" w:cs="Noto Sans"/>
          <w:b/>
          <w:bCs/>
          <w:sz w:val="16"/>
          <w:szCs w:val="16"/>
        </w:rPr>
        <w:t>Lotul</w:t>
      </w:r>
      <w:proofErr w:type="spellEnd"/>
      <w:r w:rsidRPr="0025593E">
        <w:rPr>
          <w:rFonts w:ascii="Noto Sans" w:hAnsi="Noto Sans" w:cs="Noto Sans"/>
          <w:b/>
          <w:bCs/>
          <w:sz w:val="16"/>
          <w:szCs w:val="16"/>
        </w:rPr>
        <w:t xml:space="preserve"> II — </w:t>
      </w:r>
      <w:proofErr w:type="spellStart"/>
      <w:r w:rsidRPr="0025593E">
        <w:rPr>
          <w:rFonts w:ascii="Noto Sans" w:hAnsi="Noto Sans" w:cs="Noto Sans"/>
          <w:b/>
          <w:bCs/>
          <w:sz w:val="16"/>
          <w:szCs w:val="16"/>
        </w:rPr>
        <w:t>Aparat</w:t>
      </w:r>
      <w:proofErr w:type="spellEnd"/>
      <w:r w:rsidRPr="0025593E">
        <w:rPr>
          <w:rFonts w:ascii="Noto Sans" w:hAnsi="Noto Sans" w:cs="Noto Sans"/>
          <w:b/>
          <w:bCs/>
          <w:sz w:val="16"/>
          <w:szCs w:val="16"/>
        </w:rPr>
        <w:t xml:space="preserve"> de </w:t>
      </w:r>
      <w:proofErr w:type="spellStart"/>
      <w:r w:rsidRPr="0025593E">
        <w:rPr>
          <w:rFonts w:ascii="Noto Sans" w:hAnsi="Noto Sans" w:cs="Noto Sans"/>
          <w:b/>
          <w:bCs/>
          <w:sz w:val="16"/>
          <w:szCs w:val="16"/>
        </w:rPr>
        <w:t>cafea</w:t>
      </w:r>
      <w:proofErr w:type="spellEnd"/>
      <w:r w:rsidRPr="0025593E">
        <w:rPr>
          <w:rFonts w:ascii="Noto Sans" w:hAnsi="Noto Sans" w:cs="Noto Sans"/>
          <w:b/>
          <w:bCs/>
          <w:sz w:val="16"/>
          <w:szCs w:val="16"/>
        </w:rPr>
        <w:t xml:space="preserve"> automat &amp; </w:t>
      </w:r>
      <w:proofErr w:type="spellStart"/>
      <w:r w:rsidRPr="0025593E">
        <w:rPr>
          <w:rFonts w:ascii="Noto Sans" w:hAnsi="Noto Sans" w:cs="Noto Sans"/>
          <w:b/>
          <w:bCs/>
          <w:sz w:val="16"/>
          <w:szCs w:val="16"/>
        </w:rPr>
        <w:t>Distrugător</w:t>
      </w:r>
      <w:proofErr w:type="spellEnd"/>
      <w:r w:rsidRPr="0025593E">
        <w:rPr>
          <w:rFonts w:ascii="Noto Sans" w:hAnsi="Noto Sans" w:cs="Noto Sans"/>
          <w:b/>
          <w:bCs/>
          <w:sz w:val="16"/>
          <w:szCs w:val="16"/>
        </w:rPr>
        <w:t xml:space="preserve"> de </w:t>
      </w:r>
      <w:proofErr w:type="spellStart"/>
      <w:r w:rsidRPr="0025593E">
        <w:rPr>
          <w:rFonts w:ascii="Noto Sans" w:hAnsi="Noto Sans" w:cs="Noto Sans"/>
          <w:b/>
          <w:bCs/>
          <w:sz w:val="16"/>
          <w:szCs w:val="16"/>
        </w:rPr>
        <w:t>documente</w:t>
      </w:r>
      <w:r w:rsidR="00CA3C98" w:rsidRPr="0025593E">
        <w:rPr>
          <w:rFonts w:ascii="Noto Sans" w:hAnsi="Noto Sans" w:cs="Noto Sans"/>
          <w:b/>
          <w:bCs/>
          <w:sz w:val="16"/>
          <w:szCs w:val="16"/>
        </w:rPr>
        <w:t>Prezentare</w:t>
      </w:r>
      <w:proofErr w:type="spellEnd"/>
      <w:r w:rsidR="00CA3C98" w:rsidRPr="0025593E">
        <w:rPr>
          <w:rFonts w:ascii="Noto Sans" w:hAnsi="Noto Sans" w:cs="Noto Sans"/>
          <w:b/>
          <w:bCs/>
          <w:sz w:val="16"/>
          <w:szCs w:val="16"/>
        </w:rPr>
        <w:t xml:space="preserve"> </w:t>
      </w:r>
      <w:proofErr w:type="spellStart"/>
      <w:r w:rsidR="00CA3C98" w:rsidRPr="0025593E">
        <w:rPr>
          <w:rFonts w:ascii="Noto Sans" w:hAnsi="Noto Sans" w:cs="Noto Sans"/>
          <w:b/>
          <w:bCs/>
          <w:sz w:val="16"/>
          <w:szCs w:val="16"/>
        </w:rPr>
        <w:t>generală</w:t>
      </w:r>
      <w:proofErr w:type="spellEnd"/>
      <w:r w:rsidR="00CA3C98" w:rsidRPr="0025593E">
        <w:rPr>
          <w:rFonts w:ascii="Noto Sans" w:hAnsi="Noto Sans" w:cs="Noto Sans"/>
          <w:sz w:val="16"/>
          <w:szCs w:val="16"/>
        </w:rPr>
        <w:t>:</w:t>
      </w:r>
    </w:p>
    <w:p w14:paraId="3FD35824" w14:textId="77777777" w:rsidR="00274B5E" w:rsidRPr="00A76FF1" w:rsidRDefault="00274B5E" w:rsidP="00274B5E">
      <w:p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Binefacere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Caritas Moldova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este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o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organizație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non-</w:t>
      </w:r>
      <w:proofErr w:type="spellStart"/>
      <w:r w:rsidRPr="00A76FF1">
        <w:rPr>
          <w:rFonts w:ascii="Noto Sans" w:hAnsi="Noto Sans" w:cs="Noto Sans"/>
          <w:sz w:val="20"/>
          <w:szCs w:val="20"/>
        </w:rPr>
        <w:t>guvernamentală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care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activează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Republica Moldova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peste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30 de ani,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promovând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valori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creștine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—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demnitatea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umană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solidaritatea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compasiunea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integritatea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transparența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.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acționează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ca vector al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ajutorului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social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umanitar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beneficiul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persoanelor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vulnerabile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al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comunităților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defavorizate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73822051" w14:textId="5FD37CA0" w:rsidR="00274B5E" w:rsidRPr="00A76FF1" w:rsidRDefault="00274B5E" w:rsidP="00274B5E">
      <w:p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cadrul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activității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sale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curente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organizează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prezenta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procedură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selecție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competitivă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pentru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achiziționarea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echipamentelor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birou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necesare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desfășurării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activității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cu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respectarea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principiilor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transparenței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concurenței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loiale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eficienței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utilizării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fondurilor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tratamentului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egal al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ofertanților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53D369D4" w14:textId="77777777" w:rsidR="007A5350" w:rsidRPr="00A76FF1" w:rsidRDefault="006B1F45" w:rsidP="005C7DC9">
      <w:pPr>
        <w:pStyle w:val="ListParagraph"/>
        <w:numPr>
          <w:ilvl w:val="0"/>
          <w:numId w:val="3"/>
        </w:numPr>
        <w:spacing w:before="320"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Obiectivul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achiziției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>:</w:t>
      </w:r>
    </w:p>
    <w:p w14:paraId="2A9F14AF" w14:textId="751B86D1" w:rsidR="005C0FA7" w:rsidRPr="00A76FF1" w:rsidRDefault="00892CF7" w:rsidP="007A5350">
      <w:pPr>
        <w:spacing w:before="320"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Obiectul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prezentei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achiziții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constă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selectarea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unuia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sau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mai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multor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furnizori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autorizați</w:t>
      </w:r>
      <w:proofErr w:type="spellEnd"/>
      <w:r w:rsid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pentru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furnizarea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echipamentelor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birou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grupate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două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(2)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loturi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distincte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, conform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tabelului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mai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jos.</w:t>
      </w:r>
      <w:proofErr w:type="spellEnd"/>
    </w:p>
    <w:p w14:paraId="42A7DEA0" w14:textId="7CE6502F" w:rsidR="00711475" w:rsidRPr="00A76FF1" w:rsidRDefault="00711475" w:rsidP="005C7DC9">
      <w:pPr>
        <w:spacing w:before="320" w:after="120" w:line="240" w:lineRule="auto"/>
        <w:jc w:val="both"/>
        <w:rPr>
          <w:rFonts w:ascii="Noto Sans" w:eastAsia="Arial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b/>
          <w:bCs/>
          <w:color w:val="000000"/>
          <w:sz w:val="20"/>
          <w:szCs w:val="20"/>
        </w:rPr>
        <w:t>Cerințe</w:t>
      </w:r>
      <w:proofErr w:type="spellEnd"/>
      <w:r w:rsidRPr="00A76FF1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color w:val="000000"/>
          <w:sz w:val="20"/>
          <w:szCs w:val="20"/>
        </w:rPr>
        <w:t>tehnice</w:t>
      </w:r>
      <w:proofErr w:type="spellEnd"/>
      <w:r w:rsidRPr="00A76FF1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color w:val="000000"/>
          <w:sz w:val="20"/>
          <w:szCs w:val="20"/>
        </w:rPr>
        <w:t>detaliate</w:t>
      </w:r>
      <w:proofErr w:type="spellEnd"/>
      <w:r w:rsidRPr="00A76FF1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.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Specificațiile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tehnice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complete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obligatorii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pentru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fiecare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lot sunt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prezentate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i/>
          <w:iCs/>
          <w:color w:val="000000"/>
          <w:sz w:val="20"/>
          <w:szCs w:val="20"/>
        </w:rPr>
        <w:t>Anexa</w:t>
      </w:r>
      <w:proofErr w:type="spellEnd"/>
      <w:r w:rsidRPr="00A76FF1">
        <w:rPr>
          <w:rFonts w:ascii="Noto Sans" w:hAnsi="Noto Sans" w:cs="Noto Sans"/>
          <w:b/>
          <w:bCs/>
          <w:i/>
          <w:iCs/>
          <w:color w:val="000000"/>
          <w:sz w:val="20"/>
          <w:szCs w:val="20"/>
        </w:rPr>
        <w:t xml:space="preserve"> 2 — </w:t>
      </w:r>
      <w:proofErr w:type="spellStart"/>
      <w:r w:rsidRPr="00A76FF1">
        <w:rPr>
          <w:rFonts w:ascii="Noto Sans" w:hAnsi="Noto Sans" w:cs="Noto Sans"/>
          <w:b/>
          <w:bCs/>
          <w:i/>
          <w:iCs/>
          <w:color w:val="000000"/>
          <w:sz w:val="20"/>
          <w:szCs w:val="20"/>
        </w:rPr>
        <w:t>Ofertă</w:t>
      </w:r>
      <w:proofErr w:type="spellEnd"/>
      <w:r w:rsidRPr="00A76FF1">
        <w:rPr>
          <w:rFonts w:ascii="Noto Sans" w:hAnsi="Noto Sans" w:cs="Noto Sans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i/>
          <w:iCs/>
          <w:color w:val="000000"/>
          <w:sz w:val="20"/>
          <w:szCs w:val="20"/>
        </w:rPr>
        <w:t>Tehnică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(formular de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completat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furnizor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).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Tabelul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următor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prezintă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un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rezumat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al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cerințelor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color w:val="000000"/>
          <w:sz w:val="20"/>
          <w:szCs w:val="20"/>
        </w:rPr>
        <w:t>cheie</w:t>
      </w:r>
      <w:proofErr w:type="spellEnd"/>
      <w:r w:rsidRPr="00A76FF1">
        <w:rPr>
          <w:rFonts w:ascii="Noto Sans" w:hAnsi="Noto Sans" w:cs="Noto Sans"/>
          <w:color w:val="000000"/>
          <w:sz w:val="20"/>
          <w:szCs w:val="20"/>
        </w:rPr>
        <w:t>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156"/>
        <w:gridCol w:w="4131"/>
        <w:gridCol w:w="2954"/>
      </w:tblGrid>
      <w:tr w:rsidR="000807C6" w:rsidRPr="00A76FF1" w14:paraId="66693AA7" w14:textId="77777777" w:rsidTr="001A5633">
        <w:trPr>
          <w:trHeight w:val="201"/>
          <w:tblHeader/>
        </w:trPr>
        <w:tc>
          <w:tcPr>
            <w:tcW w:w="536" w:type="dxa"/>
            <w:shd w:val="clear" w:color="auto" w:fill="DAE9F7" w:themeFill="text2" w:themeFillTint="1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4C758F1" w14:textId="77777777" w:rsidR="000807C6" w:rsidRPr="00A76FF1" w:rsidRDefault="000807C6" w:rsidP="000807C6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Lot</w:t>
            </w:r>
          </w:p>
        </w:tc>
        <w:tc>
          <w:tcPr>
            <w:tcW w:w="2159" w:type="dxa"/>
            <w:shd w:val="clear" w:color="auto" w:fill="DAE9F7" w:themeFill="text2" w:themeFillTint="1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EABC6C7" w14:textId="77777777" w:rsidR="000807C6" w:rsidRPr="00A76FF1" w:rsidRDefault="000807C6" w:rsidP="000807C6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Obiectul</w:t>
            </w:r>
            <w:proofErr w:type="spellEnd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achiziției</w:t>
            </w:r>
            <w:proofErr w:type="spellEnd"/>
          </w:p>
        </w:tc>
        <w:tc>
          <w:tcPr>
            <w:tcW w:w="4140" w:type="dxa"/>
            <w:shd w:val="clear" w:color="auto" w:fill="DAE9F7" w:themeFill="text2" w:themeFillTint="1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EF5A718" w14:textId="748EA9F6" w:rsidR="000807C6" w:rsidRPr="00A76FF1" w:rsidRDefault="00FC480F" w:rsidP="000807C6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Cerințe</w:t>
            </w:r>
            <w:proofErr w:type="spellEnd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tehnice</w:t>
            </w:r>
            <w:proofErr w:type="spellEnd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cheie</w:t>
            </w:r>
            <w:proofErr w:type="spellEnd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rezumat</w:t>
            </w:r>
            <w:proofErr w:type="spellEnd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970" w:type="dxa"/>
            <w:shd w:val="clear" w:color="auto" w:fill="DAE9F7" w:themeFill="text2" w:themeFillTint="1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11825A7" w14:textId="77777777" w:rsidR="000807C6" w:rsidRPr="00A76FF1" w:rsidRDefault="000807C6" w:rsidP="000807C6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Cant.</w:t>
            </w:r>
          </w:p>
        </w:tc>
      </w:tr>
      <w:tr w:rsidR="000807C6" w:rsidRPr="00A76FF1" w14:paraId="2B410BD7" w14:textId="77777777" w:rsidTr="001A5633">
        <w:trPr>
          <w:trHeight w:val="963"/>
        </w:trPr>
        <w:tc>
          <w:tcPr>
            <w:tcW w:w="536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FC0157" w14:textId="77777777" w:rsidR="000807C6" w:rsidRPr="00A76FF1" w:rsidRDefault="000807C6" w:rsidP="000807C6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76FF1"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2159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CC5D4A" w14:textId="77777777" w:rsidR="000807C6" w:rsidRPr="00A76FF1" w:rsidRDefault="000807C6" w:rsidP="000807C6">
            <w:pPr>
              <w:spacing w:after="0" w:line="240" w:lineRule="auto"/>
              <w:rPr>
                <w:rFonts w:ascii="Noto Sans" w:eastAsia="Arial" w:hAnsi="Noto Sans" w:cs="Noto San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Echipament</w:t>
            </w:r>
            <w:proofErr w:type="spellEnd"/>
            <w:r w:rsidRPr="00A76FF1"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multifuncțional</w:t>
            </w:r>
            <w:proofErr w:type="spellEnd"/>
            <w:r w:rsidRPr="00A76FF1"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laser color format A3</w:t>
            </w:r>
          </w:p>
        </w:tc>
        <w:tc>
          <w:tcPr>
            <w:tcW w:w="414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3D54B" w14:textId="77777777" w:rsidR="000807C6" w:rsidRPr="00A76FF1" w:rsidRDefault="000807C6" w:rsidP="000807C6">
            <w:pPr>
              <w:spacing w:after="0" w:line="240" w:lineRule="auto"/>
              <w:rPr>
                <w:rFonts w:ascii="Noto Sans" w:eastAsia="Arial" w:hAnsi="Noto Sans" w:cs="Noto San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Imprimantă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copiator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scaner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laser color A3, minim 20 ppm, DADF Single-Pass, duplex automat, 4 GB RAM,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ecran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tactil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7",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securitate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AES-256,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conectivitate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Gigabit + USB 3.0</w:t>
            </w:r>
          </w:p>
        </w:tc>
        <w:tc>
          <w:tcPr>
            <w:tcW w:w="297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BA905C" w14:textId="77777777" w:rsidR="000807C6" w:rsidRPr="00A76FF1" w:rsidRDefault="000807C6" w:rsidP="000807C6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buc</w:t>
            </w:r>
            <w:proofErr w:type="spellEnd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0807C6" w:rsidRPr="00A76FF1" w14:paraId="26F8813D" w14:textId="77777777" w:rsidTr="001A5633">
        <w:trPr>
          <w:trHeight w:val="576"/>
        </w:trPr>
        <w:tc>
          <w:tcPr>
            <w:tcW w:w="536" w:type="dxa"/>
            <w:vMerge w:val="restart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FF897" w14:textId="77777777" w:rsidR="000807C6" w:rsidRPr="00A76FF1" w:rsidRDefault="000807C6" w:rsidP="000807C6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76FF1"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2159" w:type="dxa"/>
            <w:vMerge w:val="restart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A0AF9E" w14:textId="77777777" w:rsidR="000807C6" w:rsidRPr="00A76FF1" w:rsidRDefault="000807C6" w:rsidP="000807C6">
            <w:pPr>
              <w:spacing w:after="0" w:line="240" w:lineRule="auto"/>
              <w:rPr>
                <w:rFonts w:ascii="Noto Sans" w:eastAsia="Arial" w:hAnsi="Noto Sans" w:cs="Noto Sans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Echipamente</w:t>
            </w:r>
            <w:proofErr w:type="spellEnd"/>
            <w:r w:rsidRPr="00A76FF1"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birou</w:t>
            </w:r>
            <w:proofErr w:type="spellEnd"/>
            <w:r w:rsidRPr="00A76FF1"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(2 </w:t>
            </w: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produse</w:t>
            </w:r>
            <w:proofErr w:type="spellEnd"/>
            <w:r w:rsidRPr="00A76FF1"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4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7E167E" w14:textId="04ADB919" w:rsidR="000807C6" w:rsidRPr="00A76FF1" w:rsidRDefault="000807C6" w:rsidP="000807C6">
            <w:pPr>
              <w:spacing w:after="0" w:line="240" w:lineRule="auto"/>
              <w:rPr>
                <w:rFonts w:ascii="Noto Sans" w:eastAsia="Arial" w:hAnsi="Noto Sans" w:cs="Noto Sans"/>
                <w:kern w:val="0"/>
                <w:sz w:val="20"/>
                <w:szCs w:val="20"/>
                <w14:ligatures w14:val="none"/>
              </w:rPr>
            </w:pPr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Aparat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cafea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automat (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boabe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, minim 15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bari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râșniță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ceramică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oțel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297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31AE4C" w14:textId="4383E594" w:rsidR="000807C6" w:rsidRPr="00A76FF1" w:rsidRDefault="000807C6" w:rsidP="000807C6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buc</w:t>
            </w:r>
            <w:proofErr w:type="spellEnd"/>
          </w:p>
        </w:tc>
      </w:tr>
      <w:tr w:rsidR="000807C6" w:rsidRPr="00A76FF1" w14:paraId="192326FD" w14:textId="77777777" w:rsidTr="001A5633">
        <w:trPr>
          <w:trHeight w:val="540"/>
        </w:trPr>
        <w:tc>
          <w:tcPr>
            <w:tcW w:w="536" w:type="dxa"/>
            <w:vMerge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4F08D9" w14:textId="77777777" w:rsidR="000807C6" w:rsidRPr="00A76FF1" w:rsidRDefault="000807C6" w:rsidP="000807C6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9" w:type="dxa"/>
            <w:vMerge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1326E8" w14:textId="77777777" w:rsidR="000807C6" w:rsidRPr="00A76FF1" w:rsidRDefault="000807C6" w:rsidP="000807C6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C83CFF" w14:textId="66308CD7" w:rsidR="000807C6" w:rsidRPr="00A76FF1" w:rsidRDefault="000807C6" w:rsidP="000807C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IDistrugător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documente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(minim 8 coli,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nivel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securitate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P-4,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>coș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kern w:val="0"/>
                <w:sz w:val="20"/>
                <w:szCs w:val="20"/>
                <w14:ligatures w14:val="none"/>
              </w:rPr>
              <w:t xml:space="preserve"> minim 15 L)</w:t>
            </w:r>
          </w:p>
        </w:tc>
        <w:tc>
          <w:tcPr>
            <w:tcW w:w="2970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D8A448" w14:textId="701628FB" w:rsidR="000807C6" w:rsidRPr="00A76FF1" w:rsidRDefault="000807C6" w:rsidP="000807C6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 xml:space="preserve">1 </w:t>
            </w: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kern w:val="0"/>
                <w:sz w:val="20"/>
                <w:szCs w:val="20"/>
                <w14:ligatures w14:val="none"/>
              </w:rPr>
              <w:t>buc</w:t>
            </w:r>
            <w:proofErr w:type="spellEnd"/>
          </w:p>
        </w:tc>
      </w:tr>
    </w:tbl>
    <w:p w14:paraId="6A9E053A" w14:textId="3BC74E17" w:rsidR="008C0790" w:rsidRPr="00A76FF1" w:rsidRDefault="00D80FB1" w:rsidP="005C7DC9">
      <w:pPr>
        <w:pStyle w:val="ListParagraph"/>
        <w:numPr>
          <w:ilvl w:val="1"/>
          <w:numId w:val="3"/>
        </w:numPr>
        <w:spacing w:before="320" w:after="120" w:line="240" w:lineRule="auto"/>
        <w:jc w:val="both"/>
        <w:rPr>
          <w:rFonts w:ascii="Noto Sans" w:eastAsia="Arial" w:hAnsi="Noto Sans" w:cs="Noto Sans"/>
          <w:sz w:val="20"/>
          <w:szCs w:val="20"/>
        </w:rPr>
      </w:pP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Independența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loturilor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-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Fiecare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lot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constituie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o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unitate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contractuală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independentă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.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Ofertanții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pot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depune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ofertă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pentru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Lotul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I,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Lotul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II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sau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ambele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loturi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simultan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.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Evaluarea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atribuirea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se </w:t>
      </w:r>
      <w:proofErr w:type="spellStart"/>
      <w:r w:rsidR="00090E81" w:rsidRPr="00A76FF1">
        <w:rPr>
          <w:rFonts w:ascii="Noto Sans" w:eastAsia="Arial" w:hAnsi="Noto Sans" w:cs="Noto Sans"/>
          <w:sz w:val="20"/>
          <w:szCs w:val="20"/>
        </w:rPr>
        <w:t>realizează</w:t>
      </w:r>
      <w:proofErr w:type="spellEnd"/>
      <w:r w:rsidR="00090E81" w:rsidRPr="00A76FF1">
        <w:rPr>
          <w:rFonts w:ascii="Noto Sans" w:eastAsia="Arial" w:hAnsi="Noto Sans" w:cs="Noto Sans"/>
          <w:sz w:val="20"/>
          <w:szCs w:val="20"/>
        </w:rPr>
        <w:t xml:space="preserve"> per lot.</w:t>
      </w:r>
    </w:p>
    <w:p w14:paraId="578253BB" w14:textId="6A160A82" w:rsidR="00AC3B64" w:rsidRPr="00A76FF1" w:rsidRDefault="00AC3B64" w:rsidP="005C7DC9">
      <w:pPr>
        <w:pStyle w:val="ListParagraph"/>
        <w:numPr>
          <w:ilvl w:val="1"/>
          <w:numId w:val="3"/>
        </w:numPr>
        <w:spacing w:before="320" w:after="120" w:line="240" w:lineRule="auto"/>
        <w:jc w:val="both"/>
        <w:rPr>
          <w:rFonts w:ascii="Noto Sans" w:eastAsia="Arial" w:hAnsi="Noto Sans" w:cs="Noto Sans"/>
          <w:sz w:val="20"/>
          <w:szCs w:val="20"/>
        </w:rPr>
      </w:pPr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Model de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referință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—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Lotul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I.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Modelul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referință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indicat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Oferta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Tehnică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(Seria Xerox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VersaLink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C7100) are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caracter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orientativ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definește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nivelul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minim de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performanță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lastRenderedPageBreak/>
        <w:t>solicitat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.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Furnizorul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poate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oferta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orice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echipament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echivalent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sau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superior care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respectă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integral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cerințele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tehnice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minimale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din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Anexa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2,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indiferent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producător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sau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marcă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>.</w:t>
      </w:r>
    </w:p>
    <w:p w14:paraId="694A0A97" w14:textId="1C2D257E" w:rsidR="00432FC6" w:rsidRPr="0055583B" w:rsidRDefault="003413D4" w:rsidP="0055583B">
      <w:pPr>
        <w:pStyle w:val="ListParagraph"/>
        <w:numPr>
          <w:ilvl w:val="1"/>
          <w:numId w:val="3"/>
        </w:numPr>
        <w:spacing w:before="320" w:after="120" w:line="240" w:lineRule="auto"/>
        <w:jc w:val="both"/>
        <w:rPr>
          <w:rFonts w:ascii="Noto Sans" w:eastAsia="Arial" w:hAnsi="Noto Sans" w:cs="Noto Sans"/>
          <w:sz w:val="20"/>
          <w:szCs w:val="20"/>
        </w:rPr>
      </w:pP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Locul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de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livrare</w:t>
      </w:r>
      <w:proofErr w:type="spellEnd"/>
      <w:r w:rsidR="00D80FB1"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-</w:t>
      </w:r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Livrarea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instalarea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configurarea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echipamentelor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se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vor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efectua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la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sediul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D80FB1" w:rsidRPr="00A76FF1">
        <w:rPr>
          <w:rFonts w:ascii="Noto Sans" w:eastAsia="Arial" w:hAnsi="Noto Sans" w:cs="Noto Sans"/>
          <w:sz w:val="20"/>
          <w:szCs w:val="20"/>
        </w:rPr>
        <w:t>organizației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>: Str. Gheorghe Asachi 30/1, Chișinău, Republica Moldova.</w:t>
      </w:r>
    </w:p>
    <w:p w14:paraId="2D779BD7" w14:textId="51B10780" w:rsidR="00A77C85" w:rsidRPr="0055583B" w:rsidRDefault="009407CA" w:rsidP="0055583B">
      <w:pPr>
        <w:pStyle w:val="ListParagraph"/>
        <w:numPr>
          <w:ilvl w:val="0"/>
          <w:numId w:val="10"/>
        </w:numPr>
        <w:spacing w:before="320" w:after="120" w:line="240" w:lineRule="auto"/>
        <w:jc w:val="both"/>
        <w:rPr>
          <w:rFonts w:ascii="Noto Sans" w:eastAsia="Arial" w:hAnsi="Noto Sans" w:cs="Noto Sans"/>
          <w:sz w:val="20"/>
          <w:szCs w:val="20"/>
        </w:rPr>
      </w:pP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Cerințe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privind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garanția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.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Furnizorul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va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asigura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garanție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de minim 12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luni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pentru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toate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echipamentele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livrate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calculată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de la data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semnării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="00432FC6" w:rsidRPr="00A76FF1">
        <w:rPr>
          <w:rFonts w:ascii="Noto Sans" w:eastAsia="Arial" w:hAnsi="Noto Sans" w:cs="Noto Sans"/>
          <w:sz w:val="20"/>
          <w:szCs w:val="20"/>
        </w:rPr>
        <w:t>actului</w:t>
      </w:r>
      <w:proofErr w:type="spellEnd"/>
      <w:r w:rsidR="00216F03" w:rsidRPr="00A76FF1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="00216F03" w:rsidRPr="00A76FF1">
        <w:rPr>
          <w:rFonts w:ascii="Noto Sans" w:eastAsia="Arial" w:hAnsi="Noto Sans" w:cs="Noto Sans"/>
          <w:sz w:val="20"/>
          <w:szCs w:val="20"/>
        </w:rPr>
        <w:t>predare-primire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.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Pentru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Lotul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I</w:t>
      </w:r>
      <w:r w:rsidR="00E31386"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="00E31386" w:rsidRPr="00A76FF1">
        <w:rPr>
          <w:rFonts w:ascii="Noto Sans" w:eastAsia="Arial" w:hAnsi="Noto Sans" w:cs="Noto Sans"/>
          <w:b/>
          <w:bCs/>
          <w:sz w:val="20"/>
          <w:szCs w:val="20"/>
        </w:rPr>
        <w:t>și</w:t>
      </w:r>
      <w:proofErr w:type="spellEnd"/>
      <w:r w:rsidR="00E31386"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="00E31386" w:rsidRPr="00A76FF1">
        <w:rPr>
          <w:rFonts w:ascii="Noto Sans" w:eastAsia="Arial" w:hAnsi="Noto Sans" w:cs="Noto Sans"/>
          <w:b/>
          <w:bCs/>
          <w:sz w:val="20"/>
          <w:szCs w:val="20"/>
        </w:rPr>
        <w:t>Lotul</w:t>
      </w:r>
      <w:proofErr w:type="spellEnd"/>
      <w:r w:rsidR="00E31386"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II</w:t>
      </w:r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,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garanția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recomandat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este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de 12-24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luni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conform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specificațiilor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tehnice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>.</w:t>
      </w:r>
    </w:p>
    <w:p w14:paraId="3D79CA97" w14:textId="1532D1B4" w:rsidR="002F6D42" w:rsidRPr="0055583B" w:rsidRDefault="009407CA" w:rsidP="0055583B">
      <w:pPr>
        <w:pStyle w:val="ListParagraph"/>
        <w:numPr>
          <w:ilvl w:val="0"/>
          <w:numId w:val="10"/>
        </w:numPr>
        <w:spacing w:before="320" w:after="120" w:line="240" w:lineRule="auto"/>
        <w:jc w:val="both"/>
        <w:rPr>
          <w:rFonts w:ascii="Noto Sans" w:eastAsia="Arial" w:hAnsi="Noto Sans" w:cs="Noto Sans"/>
          <w:sz w:val="20"/>
          <w:szCs w:val="20"/>
        </w:rPr>
      </w:pPr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Cerințe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privind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consumabilele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—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Lotul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I</w:t>
      </w:r>
      <w:r w:rsidRPr="00A76FF1">
        <w:rPr>
          <w:rFonts w:ascii="Noto Sans" w:eastAsia="Arial" w:hAnsi="Noto Sans" w:cs="Noto Sans"/>
          <w:sz w:val="20"/>
          <w:szCs w:val="20"/>
        </w:rPr>
        <w:t xml:space="preserve">.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Echipamentul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multifuncțional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va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fi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livrat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cu </w:t>
      </w:r>
      <w:proofErr w:type="gramStart"/>
      <w:r w:rsidRPr="00A76FF1">
        <w:rPr>
          <w:rFonts w:ascii="Noto Sans" w:eastAsia="Arial" w:hAnsi="Noto Sans" w:cs="Noto Sans"/>
          <w:sz w:val="20"/>
          <w:szCs w:val="20"/>
        </w:rPr>
        <w:t>un set</w:t>
      </w:r>
      <w:proofErr w:type="gramEnd"/>
      <w:r w:rsidRPr="00A76FF1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complet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eastAsia="Arial" w:hAnsi="Noto Sans" w:cs="Noto Sans"/>
          <w:sz w:val="20"/>
          <w:szCs w:val="20"/>
        </w:rPr>
        <w:t>tonere</w:t>
      </w:r>
      <w:proofErr w:type="spellEnd"/>
      <w:r w:rsidRPr="00A76FF1">
        <w:rPr>
          <w:rFonts w:ascii="Noto Sans" w:eastAsia="Arial" w:hAnsi="Noto Sans" w:cs="Noto Sans"/>
          <w:sz w:val="20"/>
          <w:szCs w:val="20"/>
        </w:rPr>
        <w:t xml:space="preserve"> starter (CMYK). </w:t>
      </w:r>
    </w:p>
    <w:p w14:paraId="25068DD9" w14:textId="01F4FBD1" w:rsidR="002F6D42" w:rsidRPr="00A76FF1" w:rsidRDefault="002F6D42" w:rsidP="002F6D42">
      <w:pPr>
        <w:spacing w:before="320" w:after="120" w:line="240" w:lineRule="auto"/>
        <w:jc w:val="both"/>
        <w:rPr>
          <w:rFonts w:ascii="Noto Sans" w:eastAsia="Arial" w:hAnsi="Noto Sans" w:cs="Noto Sans"/>
          <w:sz w:val="20"/>
          <w:szCs w:val="20"/>
        </w:rPr>
      </w:pPr>
      <w:r w:rsidRPr="00A76FF1">
        <w:rPr>
          <w:rFonts w:ascii="Noto Sans" w:eastAsia="Arial" w:hAnsi="Noto Sans" w:cs="Noto Sans"/>
          <w:b/>
          <w:bCs/>
          <w:sz w:val="20"/>
          <w:szCs w:val="20"/>
        </w:rPr>
        <w:t>III.</w:t>
      </w:r>
      <w:r w:rsidR="0055583B">
        <w:rPr>
          <w:rFonts w:ascii="Noto Sans" w:eastAsia="Arial" w:hAnsi="Noto Sans" w:cs="Noto Sans"/>
          <w:b/>
          <w:bCs/>
          <w:sz w:val="20"/>
          <w:szCs w:val="20"/>
        </w:rPr>
        <w:t xml:space="preserve"> </w:t>
      </w:r>
      <w:r w:rsidRPr="00A76FF1">
        <w:rPr>
          <w:rFonts w:ascii="Noto Sans" w:eastAsia="Arial" w:hAnsi="Noto Sans" w:cs="Noto Sans"/>
          <w:b/>
          <w:bCs/>
          <w:sz w:val="20"/>
          <w:szCs w:val="20"/>
        </w:rPr>
        <w:t>CERINȚE TEHNICE ȘI CONDIȚII DE LIVRARE</w:t>
      </w:r>
    </w:p>
    <w:p w14:paraId="217D803F" w14:textId="2AD0F0AF" w:rsidR="00236329" w:rsidRPr="00A76FF1" w:rsidRDefault="00236329" w:rsidP="00236329">
      <w:p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r w:rsidRPr="00A76FF1">
        <w:rPr>
          <w:rFonts w:ascii="Noto Sans" w:hAnsi="Noto Sans" w:cs="Noto Sans"/>
          <w:b/>
          <w:bCs/>
          <w:sz w:val="20"/>
          <w:szCs w:val="20"/>
        </w:rPr>
        <w:t>3.1</w:t>
      </w:r>
      <w:r w:rsidR="00780F84" w:rsidRPr="00A76FF1">
        <w:rPr>
          <w:rFonts w:ascii="Noto Sans" w:hAnsi="Noto Sans" w:cs="Noto Sans"/>
          <w:b/>
          <w:bCs/>
          <w:sz w:val="20"/>
          <w:szCs w:val="20"/>
        </w:rPr>
        <w:t xml:space="preserve">.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Cerințe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tehnice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detaliate</w:t>
      </w:r>
      <w:proofErr w:type="spellEnd"/>
      <w:r w:rsidR="00780F84" w:rsidRPr="00A76FF1">
        <w:rPr>
          <w:rFonts w:ascii="Noto Sans" w:hAnsi="Noto Sans" w:cs="Noto Sans"/>
          <w:sz w:val="20"/>
          <w:szCs w:val="20"/>
        </w:rPr>
        <w:t xml:space="preserve"> -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Specificațiile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tehnice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complete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obligatorii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pentru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fiecare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lot sunt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prezentate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Anexa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nr. </w:t>
      </w:r>
      <w:r w:rsidR="00780F84" w:rsidRPr="00A76FF1">
        <w:rPr>
          <w:rFonts w:ascii="Noto Sans" w:hAnsi="Noto Sans" w:cs="Noto Sans"/>
          <w:b/>
          <w:bCs/>
          <w:sz w:val="20"/>
          <w:szCs w:val="20"/>
        </w:rPr>
        <w:t>2</w:t>
      </w:r>
      <w:r w:rsidRPr="00A76FF1">
        <w:rPr>
          <w:rFonts w:ascii="Noto Sans" w:hAnsi="Noto Sans" w:cs="Noto Sans"/>
          <w:b/>
          <w:bCs/>
          <w:sz w:val="20"/>
          <w:szCs w:val="20"/>
        </w:rPr>
        <w:t xml:space="preserve"> —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Ofertă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Tehnică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(formular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completat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furnizor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).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Toate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cerințele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tehnice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marcate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obligatorii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constituie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condiții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minime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eliminatorii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— </w:t>
      </w:r>
      <w:proofErr w:type="spellStart"/>
      <w:r w:rsidRPr="00A76FF1">
        <w:rPr>
          <w:rFonts w:ascii="Noto Sans" w:hAnsi="Noto Sans" w:cs="Noto Sans"/>
          <w:sz w:val="20"/>
          <w:szCs w:val="20"/>
        </w:rPr>
        <w:t>neîndeplinirea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oricăreia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atrage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descalificarea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automată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gramStart"/>
      <w:r w:rsidRPr="00A76FF1">
        <w:rPr>
          <w:rFonts w:ascii="Noto Sans" w:hAnsi="Noto Sans" w:cs="Noto Sans"/>
          <w:sz w:val="20"/>
          <w:szCs w:val="20"/>
        </w:rPr>
        <w:t>a</w:t>
      </w:r>
      <w:proofErr w:type="gram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ofertei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pentru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lotul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respectiv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123C8C75" w14:textId="77777777" w:rsidR="00425974" w:rsidRPr="00A76FF1" w:rsidRDefault="00425974" w:rsidP="00425974">
      <w:pPr>
        <w:spacing w:before="320"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A76FF1">
        <w:rPr>
          <w:rFonts w:ascii="Noto Sans" w:hAnsi="Noto Sans" w:cs="Noto Sans"/>
          <w:b/>
          <w:bCs/>
          <w:sz w:val="20"/>
          <w:szCs w:val="20"/>
        </w:rPr>
        <w:t xml:space="preserve">3.2.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Condiții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livrare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instalare</w:t>
      </w:r>
      <w:proofErr w:type="spellEnd"/>
    </w:p>
    <w:p w14:paraId="37E5204C" w14:textId="6D19A185" w:rsidR="00425974" w:rsidRPr="00A76FF1" w:rsidRDefault="00425974" w:rsidP="00425974">
      <w:pPr>
        <w:numPr>
          <w:ilvl w:val="0"/>
          <w:numId w:val="14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Livrarea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se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efectuează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gratuit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la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sediul</w:t>
      </w:r>
      <w:proofErr w:type="spellEnd"/>
      <w:r w:rsidR="00514707"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514707" w:rsidRPr="00A76FF1">
        <w:rPr>
          <w:rFonts w:ascii="Noto Sans" w:hAnsi="Noto Sans" w:cs="Noto Sans"/>
          <w:b/>
          <w:bCs/>
          <w:sz w:val="20"/>
          <w:szCs w:val="20"/>
        </w:rPr>
        <w:t>Fundația</w:t>
      </w:r>
      <w:proofErr w:type="spellEnd"/>
      <w:r w:rsidR="00514707" w:rsidRPr="00A76FF1">
        <w:rPr>
          <w:rFonts w:ascii="Noto Sans" w:hAnsi="Noto Sans" w:cs="Noto Sans"/>
          <w:b/>
          <w:bCs/>
          <w:sz w:val="20"/>
          <w:szCs w:val="20"/>
        </w:rPr>
        <w:t xml:space="preserve"> de </w:t>
      </w:r>
      <w:proofErr w:type="spellStart"/>
      <w:proofErr w:type="gramStart"/>
      <w:r w:rsidR="00514707" w:rsidRPr="00A76FF1">
        <w:rPr>
          <w:rFonts w:ascii="Noto Sans" w:hAnsi="Noto Sans" w:cs="Noto Sans"/>
          <w:b/>
          <w:bCs/>
          <w:sz w:val="20"/>
          <w:szCs w:val="20"/>
        </w:rPr>
        <w:t>Binefacere</w:t>
      </w:r>
      <w:proofErr w:type="spellEnd"/>
      <w:r w:rsidR="00514707" w:rsidRPr="00A76FF1">
        <w:rPr>
          <w:rFonts w:ascii="Noto Sans" w:hAnsi="Noto Sans" w:cs="Noto Sans"/>
          <w:b/>
          <w:bCs/>
          <w:sz w:val="20"/>
          <w:szCs w:val="20"/>
        </w:rPr>
        <w:t xml:space="preserve"> ”Caritas</w:t>
      </w:r>
      <w:proofErr w:type="gramEnd"/>
      <w:r w:rsidR="00514707"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="00514707" w:rsidRPr="00A76FF1">
        <w:rPr>
          <w:rFonts w:ascii="Noto Sans" w:hAnsi="Noto Sans" w:cs="Noto Sans"/>
          <w:b/>
          <w:bCs/>
          <w:sz w:val="20"/>
          <w:szCs w:val="20"/>
        </w:rPr>
        <w:t xml:space="preserve">Moldova” </w:t>
      </w:r>
      <w:r w:rsidRPr="00A76FF1">
        <w:rPr>
          <w:rFonts w:ascii="Noto Sans" w:hAnsi="Noto Sans" w:cs="Noto Sans"/>
          <w:sz w:val="20"/>
          <w:szCs w:val="20"/>
        </w:rPr>
        <w:t xml:space="preserve"> —</w:t>
      </w:r>
      <w:proofErr w:type="gram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costul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transportului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este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inclus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prețul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ofertei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6C14DB7F" w14:textId="77777777" w:rsidR="00425974" w:rsidRPr="00A76FF1" w:rsidRDefault="00425974" w:rsidP="00425974">
      <w:pPr>
        <w:numPr>
          <w:ilvl w:val="0"/>
          <w:numId w:val="14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Termenul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livrare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este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maxim 5-10 </w:t>
      </w:r>
      <w:proofErr w:type="spellStart"/>
      <w:r w:rsidRPr="00A76FF1">
        <w:rPr>
          <w:rFonts w:ascii="Noto Sans" w:hAnsi="Noto Sans" w:cs="Noto Sans"/>
          <w:sz w:val="20"/>
          <w:szCs w:val="20"/>
        </w:rPr>
        <w:t>zile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lucrătoare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la data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semnării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contractului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sau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achitării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contului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plată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după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caz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773599CF" w14:textId="77777777" w:rsidR="00425974" w:rsidRPr="00A76FF1" w:rsidRDefault="00425974" w:rsidP="00425974">
      <w:pPr>
        <w:numPr>
          <w:ilvl w:val="0"/>
          <w:numId w:val="14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Furnizorul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asigură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montarea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fizică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conectarea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la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rețeaua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internă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configurarea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inițială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gramStart"/>
      <w:r w:rsidRPr="00A76FF1">
        <w:rPr>
          <w:rFonts w:ascii="Noto Sans" w:hAnsi="Noto Sans" w:cs="Noto Sans"/>
          <w:sz w:val="20"/>
          <w:szCs w:val="20"/>
        </w:rPr>
        <w:t>a</w:t>
      </w:r>
      <w:proofErr w:type="gram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echipamentelor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livrate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33269926" w14:textId="678CA0F2" w:rsidR="00780F84" w:rsidRPr="00A76FF1" w:rsidRDefault="00425974" w:rsidP="00425974">
      <w:pPr>
        <w:numPr>
          <w:ilvl w:val="0"/>
          <w:numId w:val="14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Pentru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Lotul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I</w:t>
      </w:r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configurarea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include: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integrarea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rețeaua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LAN,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configurarea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destinațiilor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scanare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(e-mail, SMB/FTP, USB)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testarea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imprimării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color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monocrom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5D02705B" w14:textId="6EBD5CBF" w:rsidR="00F54B55" w:rsidRPr="00A76FF1" w:rsidRDefault="00F54B55" w:rsidP="00F54B55">
      <w:pPr>
        <w:numPr>
          <w:ilvl w:val="0"/>
          <w:numId w:val="14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Instruirea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bază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utilizatorilor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r w:rsidRPr="00A76FF1">
        <w:rPr>
          <w:rFonts w:ascii="Noto Sans" w:hAnsi="Noto Sans" w:cs="Noto Sans"/>
          <w:i/>
          <w:iCs/>
          <w:sz w:val="20"/>
          <w:szCs w:val="20"/>
        </w:rPr>
        <w:t>(</w:t>
      </w:r>
      <w:proofErr w:type="spellStart"/>
      <w:r w:rsidRPr="00A76FF1">
        <w:rPr>
          <w:rFonts w:ascii="Noto Sans" w:hAnsi="Noto Sans" w:cs="Noto Sans"/>
          <w:i/>
          <w:iCs/>
          <w:sz w:val="20"/>
          <w:szCs w:val="20"/>
        </w:rPr>
        <w:t>operare</w:t>
      </w:r>
      <w:proofErr w:type="spellEnd"/>
      <w:r w:rsidRPr="00A76FF1">
        <w:rPr>
          <w:rFonts w:ascii="Noto Sans" w:hAnsi="Noto Sans" w:cs="Noto Sans"/>
          <w:i/>
          <w:iCs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i/>
          <w:iCs/>
          <w:sz w:val="20"/>
          <w:szCs w:val="20"/>
        </w:rPr>
        <w:t>înlocuire</w:t>
      </w:r>
      <w:proofErr w:type="spellEnd"/>
      <w:r w:rsidRPr="00A76FF1">
        <w:rPr>
          <w:rFonts w:ascii="Noto Sans" w:hAnsi="Noto Sans" w:cs="Noto Sans"/>
          <w:i/>
          <w:i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i/>
          <w:iCs/>
          <w:sz w:val="20"/>
          <w:szCs w:val="20"/>
        </w:rPr>
        <w:t>consumabile</w:t>
      </w:r>
      <w:proofErr w:type="spellEnd"/>
      <w:r w:rsidRPr="00A76FF1">
        <w:rPr>
          <w:rFonts w:ascii="Noto Sans" w:hAnsi="Noto Sans" w:cs="Noto Sans"/>
          <w:i/>
          <w:iCs/>
          <w:sz w:val="20"/>
          <w:szCs w:val="20"/>
        </w:rPr>
        <w:t>)</w:t>
      </w:r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este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inclusă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prețul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livrării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pentru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Lotul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I.</w:t>
      </w:r>
    </w:p>
    <w:p w14:paraId="07703478" w14:textId="774E8D9C" w:rsidR="006318E4" w:rsidRPr="00A76FF1" w:rsidRDefault="006318E4" w:rsidP="006318E4">
      <w:pPr>
        <w:spacing w:before="320" w:after="120" w:line="240" w:lineRule="auto"/>
        <w:ind w:left="240"/>
        <w:jc w:val="both"/>
        <w:rPr>
          <w:rFonts w:ascii="Noto Sans" w:hAnsi="Noto Sans" w:cs="Noto Sans"/>
          <w:sz w:val="20"/>
          <w:szCs w:val="20"/>
        </w:rPr>
      </w:pPr>
      <w:r w:rsidRPr="00A76FF1">
        <w:rPr>
          <w:rFonts w:ascii="Noto Sans" w:hAnsi="Noto Sans" w:cs="Noto Sans"/>
          <w:b/>
          <w:bCs/>
          <w:sz w:val="20"/>
          <w:szCs w:val="20"/>
        </w:rPr>
        <w:t xml:space="preserve">3.3.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Recepționarea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echipamentelor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-</w:t>
      </w:r>
      <w:r w:rsidR="00AA4802"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76FF1">
        <w:rPr>
          <w:rFonts w:ascii="Noto Sans" w:hAnsi="Noto Sans" w:cs="Noto Sans"/>
          <w:sz w:val="20"/>
          <w:szCs w:val="20"/>
        </w:rPr>
        <w:t xml:space="preserve">se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efectuează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prezența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reprezentantului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Fundației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al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furnizorului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prin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semnarea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Actului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predare-primire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. Data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semnării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actului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constituie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data de start 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perioadei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garanție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.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are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dreptul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refuza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echipamentele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care nu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corespund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specificațiilor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tehnice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sau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prezintă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defecțiuni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la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livrare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1EB224A0" w14:textId="1DB9C5EB" w:rsidR="00B50972" w:rsidRPr="00A76FF1" w:rsidRDefault="00B50972" w:rsidP="00B50972">
      <w:pPr>
        <w:spacing w:before="320" w:after="120" w:line="240" w:lineRule="auto"/>
        <w:ind w:left="24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A76FF1">
        <w:rPr>
          <w:rFonts w:ascii="Noto Sans" w:hAnsi="Noto Sans" w:cs="Noto Sans"/>
          <w:b/>
          <w:bCs/>
          <w:sz w:val="20"/>
          <w:szCs w:val="20"/>
        </w:rPr>
        <w:t xml:space="preserve">3.4. 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Garanție</w:t>
      </w:r>
      <w:proofErr w:type="spellEnd"/>
    </w:p>
    <w:p w14:paraId="3333DAC7" w14:textId="77777777" w:rsidR="00B50972" w:rsidRPr="00A76FF1" w:rsidRDefault="00B50972" w:rsidP="00B50972">
      <w:pPr>
        <w:numPr>
          <w:ilvl w:val="0"/>
          <w:numId w:val="14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Garanție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minimă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obligatorie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: 12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luni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pentru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toate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echipamentele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livrate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calculată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la data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semnării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Actului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predare-primire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675CD729" w14:textId="7B87E71E" w:rsidR="00B50972" w:rsidRPr="00A76FF1" w:rsidRDefault="00B50972" w:rsidP="00B50972">
      <w:pPr>
        <w:numPr>
          <w:ilvl w:val="0"/>
          <w:numId w:val="14"/>
        </w:numPr>
        <w:spacing w:before="320"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Garanție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recomandată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: </w:t>
      </w:r>
      <w:r w:rsidRPr="00A76FF1">
        <w:rPr>
          <w:rFonts w:ascii="Noto Sans" w:hAnsi="Noto Sans" w:cs="Noto Sans"/>
          <w:sz w:val="20"/>
          <w:szCs w:val="20"/>
        </w:rPr>
        <w:t xml:space="preserve">12-24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luni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pentru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Lotul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I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Lotul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II, conform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specificațiilor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tehnice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din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Anexa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nr. 2.</w:t>
      </w:r>
    </w:p>
    <w:p w14:paraId="5EB81137" w14:textId="678AE06C" w:rsidR="003F06A4" w:rsidRPr="0055583B" w:rsidRDefault="007D4B86" w:rsidP="0055583B">
      <w:pPr>
        <w:pStyle w:val="ListParagraph"/>
        <w:numPr>
          <w:ilvl w:val="1"/>
          <w:numId w:val="15"/>
        </w:numPr>
        <w:spacing w:before="320" w:after="120" w:line="240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55583B">
        <w:rPr>
          <w:rFonts w:ascii="Noto Sans" w:hAnsi="Noto Sans" w:cs="Noto Sans"/>
          <w:sz w:val="20"/>
          <w:szCs w:val="20"/>
        </w:rPr>
        <w:t>Consumabile</w:t>
      </w:r>
      <w:proofErr w:type="spellEnd"/>
      <w:r w:rsidRPr="0055583B">
        <w:rPr>
          <w:rFonts w:ascii="Noto Sans" w:hAnsi="Noto Sans" w:cs="Noto Sans"/>
          <w:sz w:val="20"/>
          <w:szCs w:val="20"/>
        </w:rPr>
        <w:t xml:space="preserve"> — </w:t>
      </w:r>
      <w:proofErr w:type="spellStart"/>
      <w:r w:rsidRPr="0055583B">
        <w:rPr>
          <w:rFonts w:ascii="Noto Sans" w:hAnsi="Noto Sans" w:cs="Noto Sans"/>
          <w:sz w:val="20"/>
          <w:szCs w:val="20"/>
        </w:rPr>
        <w:t>Lotul</w:t>
      </w:r>
      <w:proofErr w:type="spellEnd"/>
      <w:r w:rsidRPr="0055583B">
        <w:rPr>
          <w:rFonts w:ascii="Noto Sans" w:hAnsi="Noto Sans" w:cs="Noto Sans"/>
          <w:sz w:val="20"/>
          <w:szCs w:val="20"/>
        </w:rPr>
        <w:t xml:space="preserve"> I - </w:t>
      </w:r>
      <w:proofErr w:type="spellStart"/>
      <w:r w:rsidRPr="0055583B">
        <w:rPr>
          <w:rFonts w:ascii="Noto Sans" w:hAnsi="Noto Sans" w:cs="Noto Sans"/>
          <w:sz w:val="20"/>
          <w:szCs w:val="20"/>
        </w:rPr>
        <w:t>Echipamentul</w:t>
      </w:r>
      <w:proofErr w:type="spellEnd"/>
      <w:r w:rsidRPr="0055583B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55583B">
        <w:rPr>
          <w:rFonts w:ascii="Noto Sans" w:hAnsi="Noto Sans" w:cs="Noto Sans"/>
          <w:sz w:val="20"/>
          <w:szCs w:val="20"/>
        </w:rPr>
        <w:t>multifuncțional</w:t>
      </w:r>
      <w:proofErr w:type="spellEnd"/>
      <w:r w:rsidRPr="0055583B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55583B">
        <w:rPr>
          <w:rFonts w:ascii="Noto Sans" w:hAnsi="Noto Sans" w:cs="Noto Sans"/>
          <w:sz w:val="20"/>
          <w:szCs w:val="20"/>
        </w:rPr>
        <w:t>va</w:t>
      </w:r>
      <w:proofErr w:type="spellEnd"/>
      <w:r w:rsidRPr="0055583B">
        <w:rPr>
          <w:rFonts w:ascii="Noto Sans" w:hAnsi="Noto Sans" w:cs="Noto Sans"/>
          <w:sz w:val="20"/>
          <w:szCs w:val="20"/>
        </w:rPr>
        <w:t xml:space="preserve"> fi </w:t>
      </w:r>
      <w:proofErr w:type="spellStart"/>
      <w:r w:rsidRPr="0055583B">
        <w:rPr>
          <w:rFonts w:ascii="Noto Sans" w:hAnsi="Noto Sans" w:cs="Noto Sans"/>
          <w:sz w:val="20"/>
          <w:szCs w:val="20"/>
        </w:rPr>
        <w:t>livrat</w:t>
      </w:r>
      <w:proofErr w:type="spellEnd"/>
      <w:r w:rsidRPr="0055583B">
        <w:rPr>
          <w:rFonts w:ascii="Noto Sans" w:hAnsi="Noto Sans" w:cs="Noto Sans"/>
          <w:sz w:val="20"/>
          <w:szCs w:val="20"/>
        </w:rPr>
        <w:t xml:space="preserve"> cu </w:t>
      </w:r>
      <w:proofErr w:type="gramStart"/>
      <w:r w:rsidRPr="0055583B">
        <w:rPr>
          <w:rFonts w:ascii="Noto Sans" w:hAnsi="Noto Sans" w:cs="Noto Sans"/>
          <w:sz w:val="20"/>
          <w:szCs w:val="20"/>
        </w:rPr>
        <w:t>un set</w:t>
      </w:r>
      <w:proofErr w:type="gramEnd"/>
      <w:r w:rsidRPr="0055583B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55583B">
        <w:rPr>
          <w:rFonts w:ascii="Noto Sans" w:hAnsi="Noto Sans" w:cs="Noto Sans"/>
          <w:sz w:val="20"/>
          <w:szCs w:val="20"/>
        </w:rPr>
        <w:t>complet</w:t>
      </w:r>
      <w:proofErr w:type="spellEnd"/>
      <w:r w:rsidRPr="0055583B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55583B">
        <w:rPr>
          <w:rFonts w:ascii="Noto Sans" w:hAnsi="Noto Sans" w:cs="Noto Sans"/>
          <w:sz w:val="20"/>
          <w:szCs w:val="20"/>
        </w:rPr>
        <w:t>tonere</w:t>
      </w:r>
      <w:proofErr w:type="spellEnd"/>
      <w:r w:rsidRPr="0055583B">
        <w:rPr>
          <w:rFonts w:ascii="Noto Sans" w:hAnsi="Noto Sans" w:cs="Noto Sans"/>
          <w:sz w:val="20"/>
          <w:szCs w:val="20"/>
        </w:rPr>
        <w:t xml:space="preserve"> starter (CMYK)</w:t>
      </w:r>
      <w:r w:rsidR="005F683B">
        <w:rPr>
          <w:rFonts w:ascii="Noto Sans" w:hAnsi="Noto Sans" w:cs="Noto Sans"/>
          <w:sz w:val="20"/>
          <w:szCs w:val="20"/>
        </w:rPr>
        <w:t>.</w:t>
      </w:r>
    </w:p>
    <w:p w14:paraId="233CDD9A" w14:textId="09826F22" w:rsidR="00B50972" w:rsidRPr="00A76FF1" w:rsidRDefault="00F07247" w:rsidP="0014148E">
      <w:pPr>
        <w:pStyle w:val="ListParagraph"/>
        <w:numPr>
          <w:ilvl w:val="0"/>
          <w:numId w:val="6"/>
        </w:numPr>
        <w:spacing w:before="320" w:after="12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A76FF1">
        <w:rPr>
          <w:rFonts w:ascii="Noto Sans" w:hAnsi="Noto Sans" w:cs="Noto Sans"/>
          <w:b/>
          <w:bCs/>
          <w:sz w:val="20"/>
          <w:szCs w:val="20"/>
        </w:rPr>
        <w:t>CONDIȚII FINANCIARE ȘI TERMENI DE PLATĂ</w:t>
      </w:r>
    </w:p>
    <w:p w14:paraId="5611E4A5" w14:textId="77777777" w:rsidR="0014148E" w:rsidRPr="00A76FF1" w:rsidRDefault="0014148E" w:rsidP="0014148E">
      <w:pPr>
        <w:spacing w:before="320" w:after="120" w:line="240" w:lineRule="auto"/>
        <w:ind w:left="360"/>
        <w:jc w:val="both"/>
        <w:rPr>
          <w:rFonts w:ascii="Noto Sans" w:hAnsi="Noto Sans" w:cs="Noto Sans"/>
          <w:sz w:val="20"/>
          <w:szCs w:val="20"/>
        </w:rPr>
      </w:pPr>
      <w:r w:rsidRPr="00A76FF1">
        <w:rPr>
          <w:rFonts w:ascii="Noto Sans" w:hAnsi="Noto Sans" w:cs="Noto Sans"/>
          <w:b/>
          <w:bCs/>
          <w:sz w:val="20"/>
          <w:szCs w:val="20"/>
        </w:rPr>
        <w:t>•</w:t>
      </w:r>
      <w:r w:rsidRPr="00A76FF1">
        <w:rPr>
          <w:rFonts w:ascii="Noto Sans" w:hAnsi="Noto Sans" w:cs="Noto Sans"/>
          <w:b/>
          <w:bCs/>
          <w:sz w:val="20"/>
          <w:szCs w:val="20"/>
        </w:rPr>
        <w:tab/>
      </w:r>
      <w:proofErr w:type="spellStart"/>
      <w:r w:rsidRPr="00A76FF1">
        <w:rPr>
          <w:rFonts w:ascii="Noto Sans" w:hAnsi="Noto Sans" w:cs="Noto Sans"/>
          <w:sz w:val="20"/>
          <w:szCs w:val="20"/>
        </w:rPr>
        <w:t>Toate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prețurile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se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exprimă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MDL (lei </w:t>
      </w:r>
      <w:proofErr w:type="spellStart"/>
      <w:r w:rsidRPr="00A76FF1">
        <w:rPr>
          <w:rFonts w:ascii="Noto Sans" w:hAnsi="Noto Sans" w:cs="Noto Sans"/>
          <w:sz w:val="20"/>
          <w:szCs w:val="20"/>
        </w:rPr>
        <w:t>moldovenești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), cu TVA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inclus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077D7545" w14:textId="77777777" w:rsidR="0014148E" w:rsidRPr="00A76FF1" w:rsidRDefault="0014148E" w:rsidP="0014148E">
      <w:pPr>
        <w:spacing w:before="320" w:after="120" w:line="240" w:lineRule="auto"/>
        <w:ind w:left="360"/>
        <w:jc w:val="both"/>
        <w:rPr>
          <w:rFonts w:ascii="Noto Sans" w:hAnsi="Noto Sans" w:cs="Noto Sans"/>
          <w:sz w:val="20"/>
          <w:szCs w:val="20"/>
        </w:rPr>
      </w:pPr>
      <w:r w:rsidRPr="00A76FF1">
        <w:rPr>
          <w:rFonts w:ascii="Noto Sans" w:hAnsi="Noto Sans" w:cs="Noto Sans"/>
          <w:sz w:val="20"/>
          <w:szCs w:val="20"/>
        </w:rPr>
        <w:t>•</w:t>
      </w:r>
      <w:r w:rsidRPr="00A76FF1">
        <w:rPr>
          <w:rFonts w:ascii="Noto Sans" w:hAnsi="Noto Sans" w:cs="Noto Sans"/>
          <w:sz w:val="20"/>
          <w:szCs w:val="20"/>
        </w:rPr>
        <w:tab/>
      </w:r>
      <w:proofErr w:type="spellStart"/>
      <w:r w:rsidRPr="00A76FF1">
        <w:rPr>
          <w:rFonts w:ascii="Noto Sans" w:hAnsi="Noto Sans" w:cs="Noto Sans"/>
          <w:sz w:val="20"/>
          <w:szCs w:val="20"/>
        </w:rPr>
        <w:t>Prețul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contractului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este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ferm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irevocabil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pe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toată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durata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executare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. Nu se admit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ajustări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preț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după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semnarea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contractului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73089E0C" w14:textId="77777777" w:rsidR="0014148E" w:rsidRPr="00A76FF1" w:rsidRDefault="0014148E" w:rsidP="0014148E">
      <w:pPr>
        <w:spacing w:before="320" w:after="120" w:line="240" w:lineRule="auto"/>
        <w:ind w:left="360"/>
        <w:jc w:val="both"/>
        <w:rPr>
          <w:rFonts w:ascii="Noto Sans" w:hAnsi="Noto Sans" w:cs="Noto Sans"/>
          <w:sz w:val="20"/>
          <w:szCs w:val="20"/>
        </w:rPr>
      </w:pPr>
      <w:r w:rsidRPr="00A76FF1">
        <w:rPr>
          <w:rFonts w:ascii="Noto Sans" w:hAnsi="Noto Sans" w:cs="Noto Sans"/>
          <w:sz w:val="20"/>
          <w:szCs w:val="20"/>
        </w:rPr>
        <w:t>•</w:t>
      </w:r>
      <w:r w:rsidRPr="00A76FF1">
        <w:rPr>
          <w:rFonts w:ascii="Noto Sans" w:hAnsi="Noto Sans" w:cs="Noto Sans"/>
          <w:sz w:val="20"/>
          <w:szCs w:val="20"/>
        </w:rPr>
        <w:tab/>
        <w:t xml:space="preserve">Plata se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efectuează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baza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Actului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predare-primire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Facturii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fiscale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termen de maximum 7 </w:t>
      </w:r>
      <w:proofErr w:type="spellStart"/>
      <w:r w:rsidRPr="00A76FF1">
        <w:rPr>
          <w:rFonts w:ascii="Noto Sans" w:hAnsi="Noto Sans" w:cs="Noto Sans"/>
          <w:sz w:val="20"/>
          <w:szCs w:val="20"/>
        </w:rPr>
        <w:t>zile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lucrătoare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la data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primirii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documentelor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complete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corecte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21DF2B07" w14:textId="2CA4253A" w:rsidR="0014148E" w:rsidRPr="00A76FF1" w:rsidRDefault="0014148E" w:rsidP="0014148E">
      <w:pPr>
        <w:spacing w:before="320" w:after="120" w:line="240" w:lineRule="auto"/>
        <w:ind w:left="360"/>
        <w:jc w:val="both"/>
        <w:rPr>
          <w:rFonts w:ascii="Noto Sans" w:hAnsi="Noto Sans" w:cs="Noto Sans"/>
          <w:sz w:val="20"/>
          <w:szCs w:val="20"/>
        </w:rPr>
      </w:pPr>
      <w:r w:rsidRPr="00A76FF1">
        <w:rPr>
          <w:rFonts w:ascii="Noto Sans" w:hAnsi="Noto Sans" w:cs="Noto Sans"/>
          <w:sz w:val="20"/>
          <w:szCs w:val="20"/>
        </w:rPr>
        <w:t>•</w:t>
      </w:r>
      <w:r w:rsidRPr="00A76FF1">
        <w:rPr>
          <w:rFonts w:ascii="Noto Sans" w:hAnsi="Noto Sans" w:cs="Noto Sans"/>
          <w:sz w:val="20"/>
          <w:szCs w:val="20"/>
        </w:rPr>
        <w:tab/>
      </w:r>
      <w:proofErr w:type="spellStart"/>
      <w:r w:rsidRPr="00A76FF1">
        <w:rPr>
          <w:rFonts w:ascii="Noto Sans" w:hAnsi="Noto Sans" w:cs="Noto Sans"/>
          <w:sz w:val="20"/>
          <w:szCs w:val="20"/>
        </w:rPr>
        <w:t>Oferta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financiară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trebuie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includă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toate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costurile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aferente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: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produse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livrare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instalare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configurare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instruire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personal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consumabile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starter (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acolo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unde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este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aplicabil</w:t>
      </w:r>
      <w:proofErr w:type="spellEnd"/>
      <w:r w:rsidRPr="00A76FF1">
        <w:rPr>
          <w:rFonts w:ascii="Noto Sans" w:hAnsi="Noto Sans" w:cs="Noto Sans"/>
          <w:sz w:val="20"/>
          <w:szCs w:val="20"/>
        </w:rPr>
        <w:t>).</w:t>
      </w:r>
    </w:p>
    <w:p w14:paraId="42BA89CC" w14:textId="20033DFC" w:rsidR="007A28A8" w:rsidRPr="00A76FF1" w:rsidRDefault="007A28A8" w:rsidP="004377EA">
      <w:pPr>
        <w:pStyle w:val="ListParagraph"/>
        <w:numPr>
          <w:ilvl w:val="0"/>
          <w:numId w:val="6"/>
        </w:numPr>
        <w:spacing w:before="320" w:after="120" w:line="240" w:lineRule="auto"/>
        <w:jc w:val="both"/>
        <w:rPr>
          <w:rFonts w:ascii="Noto Sans" w:eastAsia="Arial" w:hAnsi="Noto Sans" w:cs="Noto Sans"/>
          <w:b/>
          <w:bCs/>
          <w:sz w:val="20"/>
          <w:szCs w:val="20"/>
        </w:rPr>
      </w:pP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Dosarul</w:t>
      </w:r>
      <w:proofErr w:type="spellEnd"/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 de </w:t>
      </w:r>
      <w:proofErr w:type="spellStart"/>
      <w:r w:rsidRPr="00A76FF1">
        <w:rPr>
          <w:rFonts w:ascii="Noto Sans" w:eastAsia="Arial" w:hAnsi="Noto Sans" w:cs="Noto Sans"/>
          <w:b/>
          <w:bCs/>
          <w:sz w:val="20"/>
          <w:szCs w:val="20"/>
        </w:rPr>
        <w:t>participare</w:t>
      </w:r>
      <w:proofErr w:type="spellEnd"/>
    </w:p>
    <w:p w14:paraId="6062AEC6" w14:textId="23A78502" w:rsidR="00F53F2E" w:rsidRPr="00A76FF1" w:rsidRDefault="00F53F2E" w:rsidP="00F53F2E">
      <w:pPr>
        <w:spacing w:after="80" w:line="276" w:lineRule="auto"/>
        <w:ind w:left="36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Oferta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completă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se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transmite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exclusiv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pe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adresa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e-mail </w:t>
      </w:r>
      <w:hyperlink r:id="rId8" w:history="1">
        <w:r w:rsidRPr="00A76FF1">
          <w:rPr>
            <w:rStyle w:val="Hyperlink"/>
            <w:rFonts w:ascii="Noto Sans" w:hAnsi="Noto Sans" w:cs="Noto Sans"/>
            <w:b/>
            <w:bCs/>
            <w:sz w:val="20"/>
            <w:szCs w:val="20"/>
          </w:rPr>
          <w:t>procurement@caritas.md</w:t>
        </w:r>
      </w:hyperlink>
      <w:r w:rsidRPr="00A76FF1">
        <w:rPr>
          <w:rFonts w:ascii="Noto Sans" w:hAnsi="Noto Sans" w:cs="Noto Sans"/>
          <w:b/>
          <w:bCs/>
          <w:color w:val="7B1A1A"/>
          <w:sz w:val="20"/>
          <w:szCs w:val="20"/>
        </w:rPr>
        <w:t xml:space="preserve"> </w:t>
      </w:r>
      <w:r w:rsidRPr="00A76FF1">
        <w:rPr>
          <w:rFonts w:ascii="Noto Sans" w:hAnsi="Noto Sans" w:cs="Noto Sans"/>
          <w:color w:val="333333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până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la data de </w:t>
      </w:r>
      <w:r w:rsidR="005F683B">
        <w:rPr>
          <w:rFonts w:ascii="Noto Sans" w:hAnsi="Noto Sans" w:cs="Noto Sans"/>
          <w:b/>
          <w:bCs/>
          <w:color w:val="C0392B"/>
          <w:sz w:val="20"/>
          <w:szCs w:val="20"/>
        </w:rPr>
        <w:t xml:space="preserve">03 </w:t>
      </w:r>
      <w:proofErr w:type="spellStart"/>
      <w:r w:rsidR="005F683B">
        <w:rPr>
          <w:rFonts w:ascii="Noto Sans" w:hAnsi="Noto Sans" w:cs="Noto Sans"/>
          <w:b/>
          <w:bCs/>
          <w:color w:val="C0392B"/>
          <w:sz w:val="20"/>
          <w:szCs w:val="20"/>
        </w:rPr>
        <w:t>iulie</w:t>
      </w:r>
      <w:proofErr w:type="spellEnd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 xml:space="preserve"> 2026</w:t>
      </w:r>
      <w:r w:rsidRPr="00A76FF1">
        <w:rPr>
          <w:rFonts w:ascii="Noto Sans" w:hAnsi="Noto Sans" w:cs="Noto Sans"/>
          <w:color w:val="333333"/>
          <w:sz w:val="20"/>
          <w:szCs w:val="20"/>
        </w:rPr>
        <w:t xml:space="preserve">.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Subiectul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e-</w:t>
      </w:r>
      <w:proofErr w:type="spellStart"/>
      <w:r w:rsidRPr="00A76FF1">
        <w:rPr>
          <w:rFonts w:ascii="Noto Sans" w:hAnsi="Noto Sans" w:cs="Noto Sans"/>
          <w:sz w:val="20"/>
          <w:szCs w:val="20"/>
        </w:rPr>
        <w:t>mailului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va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conține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obligatoriu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: </w:t>
      </w:r>
      <w:proofErr w:type="spellStart"/>
      <w:r w:rsidRPr="00A76FF1">
        <w:rPr>
          <w:rFonts w:ascii="Noto Sans" w:hAnsi="Noto Sans" w:cs="Noto Sans"/>
          <w:b/>
          <w:bCs/>
          <w:i/>
          <w:iCs/>
          <w:color w:val="333333"/>
          <w:sz w:val="20"/>
          <w:szCs w:val="20"/>
        </w:rPr>
        <w:t>Oferta</w:t>
      </w:r>
      <w:proofErr w:type="spellEnd"/>
      <w:r w:rsidRPr="00A76FF1">
        <w:rPr>
          <w:rFonts w:ascii="Noto Sans" w:hAnsi="Noto Sans" w:cs="Noto Sans"/>
          <w:b/>
          <w:bCs/>
          <w:i/>
          <w:iCs/>
          <w:color w:val="333333"/>
          <w:sz w:val="20"/>
          <w:szCs w:val="20"/>
        </w:rPr>
        <w:t xml:space="preserve"> — [</w:t>
      </w:r>
      <w:proofErr w:type="spellStart"/>
      <w:r w:rsidRPr="00A76FF1">
        <w:rPr>
          <w:rFonts w:ascii="Noto Sans" w:hAnsi="Noto Sans" w:cs="Noto Sans"/>
          <w:b/>
          <w:bCs/>
          <w:i/>
          <w:iCs/>
          <w:color w:val="333333"/>
          <w:sz w:val="20"/>
          <w:szCs w:val="20"/>
        </w:rPr>
        <w:t>Denumire</w:t>
      </w:r>
      <w:proofErr w:type="spellEnd"/>
      <w:r w:rsidRPr="00A76FF1">
        <w:rPr>
          <w:rFonts w:ascii="Noto Sans" w:hAnsi="Noto Sans" w:cs="Noto Sans"/>
          <w:b/>
          <w:bCs/>
          <w:i/>
          <w:iCs/>
          <w:color w:val="333333"/>
          <w:sz w:val="20"/>
          <w:szCs w:val="20"/>
        </w:rPr>
        <w:t xml:space="preserve"> Companie] — </w:t>
      </w:r>
      <w:proofErr w:type="spellStart"/>
      <w:r w:rsidRPr="00A76FF1">
        <w:rPr>
          <w:rFonts w:ascii="Noto Sans" w:hAnsi="Noto Sans" w:cs="Noto Sans"/>
          <w:b/>
          <w:bCs/>
          <w:i/>
          <w:iCs/>
          <w:color w:val="333333"/>
          <w:sz w:val="20"/>
          <w:szCs w:val="20"/>
        </w:rPr>
        <w:t>Lotul</w:t>
      </w:r>
      <w:proofErr w:type="spellEnd"/>
      <w:r w:rsidRPr="00A76FF1">
        <w:rPr>
          <w:rFonts w:ascii="Noto Sans" w:hAnsi="Noto Sans" w:cs="Noto Sans"/>
          <w:b/>
          <w:bCs/>
          <w:i/>
          <w:iCs/>
          <w:color w:val="333333"/>
          <w:sz w:val="20"/>
          <w:szCs w:val="20"/>
        </w:rPr>
        <w:t xml:space="preserve"> [I / II / I </w:t>
      </w:r>
      <w:proofErr w:type="spellStart"/>
      <w:r w:rsidRPr="00A76FF1">
        <w:rPr>
          <w:rFonts w:ascii="Noto Sans" w:hAnsi="Noto Sans" w:cs="Noto Sans"/>
          <w:b/>
          <w:bCs/>
          <w:i/>
          <w:iCs/>
          <w:color w:val="333333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b/>
          <w:bCs/>
          <w:i/>
          <w:iCs/>
          <w:color w:val="333333"/>
          <w:sz w:val="20"/>
          <w:szCs w:val="20"/>
        </w:rPr>
        <w:t xml:space="preserve"> II]</w:t>
      </w:r>
      <w:r w:rsidRPr="00A76FF1">
        <w:rPr>
          <w:rFonts w:ascii="Noto Sans" w:hAnsi="Noto Sans" w:cs="Noto Sans"/>
          <w:color w:val="333333"/>
          <w:sz w:val="20"/>
          <w:szCs w:val="20"/>
        </w:rPr>
        <w:t>.</w:t>
      </w:r>
    </w:p>
    <w:p w14:paraId="4C467B52" w14:textId="6624B897" w:rsidR="000E1E6C" w:rsidRPr="00A76FF1" w:rsidRDefault="000E1E6C" w:rsidP="00E31386">
      <w:pPr>
        <w:rPr>
          <w:rFonts w:ascii="Noto Sans" w:hAnsi="Noto Sans" w:cs="Noto Sans"/>
          <w:b/>
          <w:bCs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7A28A8" w:rsidRPr="00A76FF1" w14:paraId="4C0E4974" w14:textId="77777777" w:rsidTr="00E31386">
        <w:tc>
          <w:tcPr>
            <w:tcW w:w="700" w:type="dxa"/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D8FB4" w14:textId="77777777" w:rsidR="007A28A8" w:rsidRPr="00A76FF1" w:rsidRDefault="007A28A8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A76FF1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326" w:type="dxa"/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4EE0AD" w14:textId="77777777" w:rsidR="007A28A8" w:rsidRPr="00A76FF1" w:rsidRDefault="007A28A8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A76FF1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 xml:space="preserve">Document </w:t>
            </w:r>
            <w:proofErr w:type="spellStart"/>
            <w:r w:rsidRPr="00A76FF1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solicitat</w:t>
            </w:r>
            <w:proofErr w:type="spellEnd"/>
          </w:p>
        </w:tc>
      </w:tr>
      <w:tr w:rsidR="007A28A8" w:rsidRPr="00A76FF1" w14:paraId="6C554502" w14:textId="77777777" w:rsidTr="00E31386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4C3AD" w14:textId="77777777" w:rsidR="007A28A8" w:rsidRPr="00A76FF1" w:rsidRDefault="007A28A8" w:rsidP="00E31386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A76FF1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3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3AA34" w14:textId="40698E97" w:rsidR="007A28A8" w:rsidRPr="00A76FF1" w:rsidRDefault="007A28A8" w:rsidP="004377EA">
            <w:pPr>
              <w:spacing w:line="24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  <w:hyperlink r:id="rId9" w:history="1">
              <w:proofErr w:type="spellStart"/>
              <w:r w:rsidRPr="00A76FF1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>Declarație</w:t>
              </w:r>
              <w:proofErr w:type="spellEnd"/>
              <w:r w:rsidRPr="00A76FF1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A76FF1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>privind</w:t>
              </w:r>
              <w:proofErr w:type="spellEnd"/>
              <w:r w:rsidRPr="00A76FF1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A76FF1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>statutul</w:t>
              </w:r>
              <w:proofErr w:type="spellEnd"/>
              <w:r w:rsidRPr="00A76FF1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A76FF1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>ofertantului</w:t>
              </w:r>
              <w:proofErr w:type="spellEnd"/>
              <w:r w:rsidRPr="00A76FF1">
                <w:rPr>
                  <w:rStyle w:val="Strong"/>
                  <w:rFonts w:ascii="Noto Sans" w:hAnsi="Noto Sans" w:cs="Noto Sans"/>
                  <w:sz w:val="20"/>
                  <w:szCs w:val="20"/>
                  <w:u w:val="single"/>
                </w:rPr>
                <w:t> </w:t>
              </w:r>
            </w:hyperlink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 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completată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semnată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76FF1">
              <w:rPr>
                <w:rFonts w:ascii="Noto Sans" w:hAnsi="Noto Sans" w:cs="Noto Sans"/>
                <w:sz w:val="20"/>
                <w:szCs w:val="20"/>
              </w:rPr>
              <w:t>ștampilată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>, </w:t>
            </w:r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 fie</w:t>
            </w:r>
            <w:proofErr w:type="gramEnd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semnată</w:t>
            </w:r>
            <w:proofErr w:type="spellEnd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semnătura</w:t>
            </w:r>
            <w:proofErr w:type="spellEnd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r w:rsidR="005F683B">
              <w:rPr>
                <w:rFonts w:ascii="Noto Sans" w:hAnsi="Noto Sans" w:cs="Noto Sans"/>
                <w:i/>
                <w:iCs/>
                <w:sz w:val="20"/>
                <w:szCs w:val="20"/>
              </w:rPr>
              <w:pgNum/>
            </w:r>
            <w:proofErr w:type="spellStart"/>
            <w:r w:rsidR="005F683B">
              <w:rPr>
                <w:rFonts w:ascii="Noto Sans" w:hAnsi="Noto Sans" w:cs="Noto Sans"/>
                <w:i/>
                <w:iCs/>
                <w:sz w:val="20"/>
                <w:szCs w:val="20"/>
              </w:rPr>
              <w:t>lectronica</w:t>
            </w:r>
            <w:proofErr w:type="spellEnd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calificată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>), 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va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fi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prezentată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în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limba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română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; </w:t>
            </w:r>
          </w:p>
        </w:tc>
      </w:tr>
      <w:tr w:rsidR="007A28A8" w:rsidRPr="00A76FF1" w14:paraId="2A982CB8" w14:textId="77777777" w:rsidTr="00E31386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7AC212" w14:textId="1F809B36" w:rsidR="007A28A8" w:rsidRPr="00A76FF1" w:rsidRDefault="00451FF2" w:rsidP="00E31386">
            <w:pPr>
              <w:spacing w:line="240" w:lineRule="auto"/>
              <w:jc w:val="center"/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</w:pPr>
            <w:r w:rsidRPr="00A76FF1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3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416B7" w14:textId="12EAD941" w:rsidR="007A28A8" w:rsidRPr="00A76FF1" w:rsidRDefault="00F64D0B" w:rsidP="004377EA">
            <w:pPr>
              <w:spacing w:line="240" w:lineRule="auto"/>
              <w:jc w:val="both"/>
              <w:rPr>
                <w:rFonts w:ascii="Noto Sans" w:eastAsia="Arial" w:hAnsi="Noto Sans" w:cs="Noto Sans"/>
                <w:color w:val="000000"/>
                <w:sz w:val="20"/>
                <w:szCs w:val="20"/>
              </w:rPr>
            </w:pPr>
            <w:proofErr w:type="spellStart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Oferta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tehnică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completată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Anexa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nr. 2)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completată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integral (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datat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semnat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ștampilat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de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ofertant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>, </w:t>
            </w:r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fie </w:t>
            </w:r>
            <w:proofErr w:type="spellStart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semnat</w:t>
            </w:r>
            <w:proofErr w:type="spellEnd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semnătura</w:t>
            </w:r>
            <w:proofErr w:type="spellEnd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electronică</w:t>
            </w:r>
            <w:proofErr w:type="spellEnd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calificată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),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va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fi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prezentat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în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limba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română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>;</w:t>
            </w:r>
          </w:p>
        </w:tc>
      </w:tr>
      <w:tr w:rsidR="00F64D0B" w:rsidRPr="00A76FF1" w14:paraId="51FE440A" w14:textId="77777777" w:rsidTr="00F64D0B">
        <w:tc>
          <w:tcPr>
            <w:tcW w:w="700" w:type="dxa"/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A3E9E" w14:textId="34FE24F3" w:rsidR="00F64D0B" w:rsidRPr="00A76FF1" w:rsidRDefault="00F64D0B" w:rsidP="00E31386">
            <w:pPr>
              <w:spacing w:line="240" w:lineRule="auto"/>
              <w:jc w:val="center"/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26" w:type="dxa"/>
            <w:shd w:val="clear" w:color="auto" w:fill="DAE9F7" w:themeFill="text2" w:themeFillTint="1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100F2" w14:textId="7B5683C3" w:rsidR="00F64D0B" w:rsidRPr="00A76FF1" w:rsidRDefault="00F64D0B" w:rsidP="004377EA">
            <w:pPr>
              <w:spacing w:line="240" w:lineRule="auto"/>
              <w:jc w:val="both"/>
              <w:rPr>
                <w:rFonts w:ascii="Noto Sans" w:eastAsia="Arial" w:hAnsi="Noto Sans" w:cs="Noto Sans"/>
                <w:color w:val="000000"/>
                <w:sz w:val="20"/>
                <w:szCs w:val="20"/>
              </w:rPr>
            </w:pPr>
            <w:proofErr w:type="spellStart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Oferta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financiară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completată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>Anexa</w:t>
            </w:r>
            <w:proofErr w:type="spellEnd"/>
            <w:r w:rsidRPr="00A76FF1">
              <w:rPr>
                <w:rFonts w:ascii="Noto Sans" w:eastAsia="Arial" w:hAnsi="Noto Sans" w:cs="Noto Sans"/>
                <w:color w:val="000000"/>
                <w:sz w:val="20"/>
                <w:szCs w:val="20"/>
              </w:rPr>
              <w:t xml:space="preserve"> nr. 1)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completată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integral,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datată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semnată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ștampilată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>, </w:t>
            </w:r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fie </w:t>
            </w:r>
            <w:proofErr w:type="spellStart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semnată</w:t>
            </w:r>
            <w:proofErr w:type="spellEnd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semnătura</w:t>
            </w:r>
            <w:proofErr w:type="spellEnd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Noto Sans" w:hAnsi="Noto Sans" w:cs="Noto Sans"/>
                <w:i/>
                <w:iCs/>
                <w:sz w:val="20"/>
                <w:szCs w:val="20"/>
              </w:rPr>
              <w:pgNum/>
            </w:r>
            <w:proofErr w:type="spellStart"/>
            <w:r>
              <w:rPr>
                <w:rFonts w:ascii="Noto Sans" w:hAnsi="Noto Sans" w:cs="Noto Sans"/>
                <w:i/>
                <w:iCs/>
                <w:sz w:val="20"/>
                <w:szCs w:val="20"/>
              </w:rPr>
              <w:t>lectronica</w:t>
            </w:r>
            <w:proofErr w:type="spellEnd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calificată</w:t>
            </w:r>
            <w:proofErr w:type="spellEnd"/>
            <w:r w:rsidRPr="00A76FF1">
              <w:rPr>
                <w:rFonts w:ascii="Noto Sans" w:hAnsi="Noto Sans" w:cs="Noto Sans"/>
                <w:i/>
                <w:iCs/>
                <w:sz w:val="20"/>
                <w:szCs w:val="20"/>
              </w:rPr>
              <w:t>,</w:t>
            </w:r>
            <w:r w:rsidRPr="00A76FF1">
              <w:rPr>
                <w:rFonts w:ascii="Noto Sans" w:hAnsi="Noto Sans" w:cs="Noto Sans"/>
                <w:sz w:val="20"/>
                <w:szCs w:val="20"/>
              </w:rPr>
              <w:t> 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prețurile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sz w:val="20"/>
                <w:szCs w:val="20"/>
              </w:rPr>
              <w:t> 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vor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fi indicate </w:t>
            </w:r>
            <w:r w:rsidRPr="00A76FF1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cu TVA (MDL</w:t>
            </w:r>
            <w:proofErr w:type="gramStart"/>
            <w:r w:rsidRPr="00A76FF1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) .</w:t>
            </w:r>
            <w:proofErr w:type="gramEnd"/>
          </w:p>
        </w:tc>
      </w:tr>
      <w:tr w:rsidR="007A28A8" w:rsidRPr="00A76FF1" w14:paraId="2C4F3B01" w14:textId="77777777" w:rsidTr="00E31386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87D652" w14:textId="642D4892" w:rsidR="007A28A8" w:rsidRPr="00A76FF1" w:rsidRDefault="00F64D0B" w:rsidP="00E31386">
            <w:pPr>
              <w:spacing w:line="24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2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5C83A" w14:textId="7D597D9A" w:rsidR="007A28A8" w:rsidRPr="00A76FF1" w:rsidRDefault="00192C21" w:rsidP="00192C21">
            <w:pPr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Extrasul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din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Registrul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de stat al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persoanelor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juridice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actualizat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,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dar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nu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mai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vechi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 xml:space="preserve"> de 12 </w:t>
            </w:r>
            <w:proofErr w:type="spellStart"/>
            <w:r w:rsidRPr="00A76FF1">
              <w:rPr>
                <w:rFonts w:ascii="Noto Sans" w:hAnsi="Noto Sans" w:cs="Noto Sans"/>
                <w:sz w:val="20"/>
                <w:szCs w:val="20"/>
              </w:rPr>
              <w:t>luni</w:t>
            </w:r>
            <w:proofErr w:type="spellEnd"/>
            <w:r w:rsidRPr="00A76FF1">
              <w:rPr>
                <w:rFonts w:ascii="Noto Sans" w:hAnsi="Noto Sans" w:cs="Noto Sans"/>
                <w:sz w:val="20"/>
                <w:szCs w:val="20"/>
              </w:rPr>
              <w:t>;</w:t>
            </w:r>
          </w:p>
        </w:tc>
      </w:tr>
    </w:tbl>
    <w:p w14:paraId="5FFD6F0B" w14:textId="3C48323F" w:rsidR="00D14860" w:rsidRPr="00A76FF1" w:rsidRDefault="00451FF2" w:rsidP="004377EA">
      <w:pPr>
        <w:spacing w:before="80" w:after="40" w:line="240" w:lineRule="auto"/>
        <w:jc w:val="both"/>
        <w:rPr>
          <w:rFonts w:ascii="Noto Sans" w:eastAsia="Arial" w:hAnsi="Noto Sans" w:cs="Noto Sans"/>
          <w:i/>
          <w:iCs/>
          <w:color w:val="C00000"/>
          <w:sz w:val="20"/>
          <w:szCs w:val="20"/>
        </w:rPr>
      </w:pPr>
      <w:r w:rsidRPr="00A76FF1">
        <w:rPr>
          <w:rFonts w:ascii="Noto Sans" w:eastAsia="Arial" w:hAnsi="Noto Sans" w:cs="Noto Sans"/>
          <w:b/>
          <w:bCs/>
          <w:sz w:val="20"/>
          <w:szCs w:val="20"/>
        </w:rPr>
        <w:t xml:space="preserve">Important: </w:t>
      </w:r>
      <w:proofErr w:type="spellStart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>Dosarele</w:t>
      </w:r>
      <w:proofErr w:type="spellEnd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incomplete </w:t>
      </w:r>
      <w:proofErr w:type="spellStart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>sau</w:t>
      </w:r>
      <w:proofErr w:type="spellEnd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>depuse</w:t>
      </w:r>
      <w:proofErr w:type="spellEnd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>după</w:t>
      </w:r>
      <w:proofErr w:type="spellEnd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>termenul</w:t>
      </w:r>
      <w:proofErr w:type="spellEnd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>limită</w:t>
      </w:r>
      <w:proofErr w:type="spellEnd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>vor</w:t>
      </w:r>
      <w:proofErr w:type="spellEnd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fi </w:t>
      </w:r>
      <w:proofErr w:type="spellStart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>respinse</w:t>
      </w:r>
      <w:proofErr w:type="spellEnd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>fără</w:t>
      </w:r>
      <w:proofErr w:type="spellEnd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</w:t>
      </w:r>
      <w:proofErr w:type="spellStart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>drept</w:t>
      </w:r>
      <w:proofErr w:type="spellEnd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 xml:space="preserve"> de </w:t>
      </w:r>
      <w:proofErr w:type="spellStart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>contestație</w:t>
      </w:r>
      <w:proofErr w:type="spellEnd"/>
      <w:r w:rsidRPr="00A76FF1">
        <w:rPr>
          <w:rFonts w:ascii="Noto Sans" w:eastAsia="Arial" w:hAnsi="Noto Sans" w:cs="Noto Sans"/>
          <w:i/>
          <w:iCs/>
          <w:color w:val="C00000"/>
          <w:sz w:val="20"/>
          <w:szCs w:val="20"/>
        </w:rPr>
        <w:t>.</w:t>
      </w:r>
    </w:p>
    <w:p w14:paraId="42376082" w14:textId="0AC5613E" w:rsidR="00D14860" w:rsidRPr="00A76FF1" w:rsidRDefault="00D14860" w:rsidP="008638FF">
      <w:pPr>
        <w:pStyle w:val="ListParagraph"/>
        <w:numPr>
          <w:ilvl w:val="0"/>
          <w:numId w:val="6"/>
        </w:numPr>
        <w:spacing w:before="80" w:after="40" w:line="240" w:lineRule="auto"/>
        <w:jc w:val="both"/>
        <w:rPr>
          <w:rFonts w:ascii="Noto Sans" w:eastAsia="Arial" w:hAnsi="Noto Sans" w:cs="Noto Sans"/>
          <w:b/>
          <w:bCs/>
          <w:sz w:val="20"/>
          <w:szCs w:val="20"/>
        </w:rPr>
      </w:pPr>
      <w:r w:rsidRPr="00A76FF1">
        <w:rPr>
          <w:rFonts w:ascii="Noto Sans" w:eastAsia="Arial" w:hAnsi="Noto Sans" w:cs="Noto Sans"/>
          <w:b/>
          <w:bCs/>
          <w:sz w:val="20"/>
          <w:szCs w:val="20"/>
        </w:rPr>
        <w:t>PROCEDURA DE EVALUARE ȘI CRITERIILE DE SELECȚIE</w:t>
      </w:r>
    </w:p>
    <w:p w14:paraId="6943A27C" w14:textId="40FC8C45" w:rsidR="00C064DF" w:rsidRPr="00A76FF1" w:rsidRDefault="009E4F26" w:rsidP="009E4F26">
      <w:pPr>
        <w:pStyle w:val="ListParagraph"/>
        <w:numPr>
          <w:ilvl w:val="1"/>
          <w:numId w:val="6"/>
        </w:num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Ofertele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vor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fi evaluate de o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Comisie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Selecție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constituită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Binefacere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Caritas Moldova,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compusă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din minimum 3 (</w:t>
      </w:r>
      <w:proofErr w:type="spellStart"/>
      <w:r w:rsidRPr="00A76FF1">
        <w:rPr>
          <w:rFonts w:ascii="Noto Sans" w:hAnsi="Noto Sans" w:cs="Noto Sans"/>
          <w:sz w:val="20"/>
          <w:szCs w:val="20"/>
        </w:rPr>
        <w:t>trei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) </w:t>
      </w:r>
      <w:proofErr w:type="spellStart"/>
      <w:r w:rsidRPr="00A76FF1">
        <w:rPr>
          <w:rFonts w:ascii="Noto Sans" w:hAnsi="Noto Sans" w:cs="Noto Sans"/>
          <w:sz w:val="20"/>
          <w:szCs w:val="20"/>
        </w:rPr>
        <w:t>membri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. Comisia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acționează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imparțialitate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independență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față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ofertanți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decizii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majoritate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voturi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6F717F8E" w14:textId="2C752426" w:rsidR="00D30BDD" w:rsidRPr="00A76FF1" w:rsidRDefault="00D30BDD" w:rsidP="00D30BDD">
      <w:p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Criteriul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determinant de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atribuire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: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prețul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cel </w:t>
      </w:r>
      <w:proofErr w:type="spellStart"/>
      <w:r w:rsidRPr="00A76FF1">
        <w:rPr>
          <w:rFonts w:ascii="Noto Sans" w:hAnsi="Noto Sans" w:cs="Noto Sans"/>
          <w:sz w:val="20"/>
          <w:szCs w:val="20"/>
        </w:rPr>
        <w:t>mai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scăzut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per lot, cu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condiția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îndeplinirii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integrale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criteriilor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conformitate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formală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tehnică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.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Ofertele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care nu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trec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etapele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eliminatorii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nu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intră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evaluarea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financiară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3E0D87C4" w14:textId="7038BE74" w:rsidR="00E4098A" w:rsidRPr="00A76FF1" w:rsidRDefault="00E4098A" w:rsidP="00E4098A">
      <w:pPr>
        <w:pStyle w:val="ListParagraph"/>
        <w:numPr>
          <w:ilvl w:val="1"/>
          <w:numId w:val="6"/>
        </w:numPr>
        <w:spacing w:after="80" w:line="276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Drepturi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rezervate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ale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A76FF1">
        <w:rPr>
          <w:rFonts w:ascii="Noto Sans" w:hAnsi="Noto Sans" w:cs="Noto Sans"/>
          <w:b/>
          <w:bCs/>
          <w:sz w:val="20"/>
          <w:szCs w:val="20"/>
        </w:rPr>
        <w:t>de ”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Binefacere</w:t>
      </w:r>
      <w:proofErr w:type="spellEnd"/>
      <w:proofErr w:type="gram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Caritas Moldova”</w:t>
      </w:r>
    </w:p>
    <w:p w14:paraId="36C1A9EC" w14:textId="77777777" w:rsidR="00E4098A" w:rsidRPr="00A76FF1" w:rsidRDefault="00E4098A" w:rsidP="00E4098A">
      <w:pPr>
        <w:pStyle w:val="ListParagraph"/>
        <w:numPr>
          <w:ilvl w:val="0"/>
          <w:numId w:val="16"/>
        </w:num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rezervă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dreptul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solicita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clarificări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sau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documente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suplimentare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cadrul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procesului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evaluare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5FEB5F28" w14:textId="77777777" w:rsidR="00E4098A" w:rsidRPr="00A76FF1" w:rsidRDefault="00E4098A" w:rsidP="00E4098A">
      <w:pPr>
        <w:pStyle w:val="ListParagraph"/>
        <w:numPr>
          <w:ilvl w:val="0"/>
          <w:numId w:val="16"/>
        </w:num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poate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invita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ofertanții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susțină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prezentări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verbale, evaluate pe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baza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acelorași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criterii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6EBD00E0" w14:textId="77777777" w:rsidR="00E4098A" w:rsidRPr="00A76FF1" w:rsidRDefault="00E4098A" w:rsidP="00E4098A">
      <w:pPr>
        <w:pStyle w:val="ListParagraph"/>
        <w:numPr>
          <w:ilvl w:val="0"/>
          <w:numId w:val="16"/>
        </w:num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nu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este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obligată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dezvăluie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modul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evaluare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gramStart"/>
      <w:r w:rsidRPr="00A76FF1">
        <w:rPr>
          <w:rFonts w:ascii="Noto Sans" w:hAnsi="Noto Sans" w:cs="Noto Sans"/>
          <w:sz w:val="20"/>
          <w:szCs w:val="20"/>
        </w:rPr>
        <w:t>a</w:t>
      </w:r>
      <w:proofErr w:type="gram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ofertelor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sau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furnizeze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informații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despre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procesul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intern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selecție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6E0BEE6B" w14:textId="77777777" w:rsidR="00E4098A" w:rsidRPr="00A76FF1" w:rsidRDefault="00E4098A" w:rsidP="00E4098A">
      <w:pPr>
        <w:pStyle w:val="ListParagraph"/>
        <w:numPr>
          <w:ilvl w:val="0"/>
          <w:numId w:val="16"/>
        </w:num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nu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este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obligată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selecteze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niciun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ofertant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nu se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angajează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acopere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costurile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suportate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ofertanți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pregătirea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ofertei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58EF342B" w14:textId="42B327D5" w:rsidR="00E4098A" w:rsidRPr="00A76FF1" w:rsidRDefault="00E4098A" w:rsidP="00E4098A">
      <w:pPr>
        <w:pStyle w:val="ListParagraph"/>
        <w:numPr>
          <w:ilvl w:val="0"/>
          <w:numId w:val="16"/>
        </w:num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rezervă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dreptul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gramStart"/>
      <w:r w:rsidRPr="00A76FF1">
        <w:rPr>
          <w:rFonts w:ascii="Noto Sans" w:hAnsi="Noto Sans" w:cs="Noto Sans"/>
          <w:sz w:val="20"/>
          <w:szCs w:val="20"/>
        </w:rPr>
        <w:t>a</w:t>
      </w:r>
      <w:proofErr w:type="gram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anula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procedura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orice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etapă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fără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obligații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despăgubire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față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participanți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12E409B6" w14:textId="7FA350AB" w:rsidR="005001CE" w:rsidRPr="00A76FF1" w:rsidRDefault="005001CE" w:rsidP="00825C6B">
      <w:pPr>
        <w:pStyle w:val="ListParagraph"/>
        <w:numPr>
          <w:ilvl w:val="1"/>
          <w:numId w:val="6"/>
        </w:numPr>
        <w:spacing w:after="80" w:line="276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Comunicarea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rezultatelor</w:t>
      </w:r>
      <w:proofErr w:type="spellEnd"/>
    </w:p>
    <w:p w14:paraId="5A9FEC1D" w14:textId="5155482F" w:rsidR="005001CE" w:rsidRPr="00A76FF1" w:rsidRDefault="005001CE" w:rsidP="005001CE">
      <w:p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Toți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ofertanții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vor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fi </w:t>
      </w:r>
      <w:proofErr w:type="spellStart"/>
      <w:r w:rsidRPr="00A76FF1">
        <w:rPr>
          <w:rFonts w:ascii="Noto Sans" w:hAnsi="Noto Sans" w:cs="Noto Sans"/>
          <w:sz w:val="20"/>
          <w:szCs w:val="20"/>
        </w:rPr>
        <w:t>notificați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privire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la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rezultatul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evaluării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pe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adresa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e-mail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indicată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termenul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prevăzut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Calendarul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procedurii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.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Contractul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se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semnează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termen de 5 </w:t>
      </w:r>
      <w:proofErr w:type="spellStart"/>
      <w:r w:rsidRPr="00A76FF1">
        <w:rPr>
          <w:rFonts w:ascii="Noto Sans" w:hAnsi="Noto Sans" w:cs="Noto Sans"/>
          <w:sz w:val="20"/>
          <w:szCs w:val="20"/>
        </w:rPr>
        <w:t>zile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lucrătoare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la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comunicarea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rezultatelor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30311562" w14:textId="77777777" w:rsidR="00CB386B" w:rsidRPr="00A76FF1" w:rsidRDefault="007018D1" w:rsidP="00CB386B">
      <w:pPr>
        <w:pStyle w:val="ListParagraph"/>
        <w:numPr>
          <w:ilvl w:val="0"/>
          <w:numId w:val="6"/>
        </w:num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r w:rsidRPr="00A76FF1">
        <w:rPr>
          <w:rFonts w:ascii="Noto Sans" w:hAnsi="Noto Sans" w:cs="Noto Sans"/>
          <w:b/>
          <w:bCs/>
          <w:sz w:val="20"/>
          <w:szCs w:val="20"/>
        </w:rPr>
        <w:t>CLARIFICĂRI ȘI COMUNICARE</w:t>
      </w:r>
    </w:p>
    <w:p w14:paraId="39A1B717" w14:textId="559C5A1A" w:rsidR="004647A3" w:rsidRPr="00A76FF1" w:rsidRDefault="00FD3113" w:rsidP="004647A3">
      <w:p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Pentru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întrebări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Vă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rugăm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ne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contactați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la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numărul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telefon</w:t>
      </w:r>
      <w:proofErr w:type="spellEnd"/>
      <w:r w:rsidR="002A2284" w:rsidRPr="00A76FF1">
        <w:rPr>
          <w:rFonts w:ascii="Noto Sans" w:hAnsi="Noto Sans" w:cs="Noto Sans"/>
          <w:sz w:val="20"/>
          <w:szCs w:val="20"/>
        </w:rPr>
        <w:t xml:space="preserve">: </w:t>
      </w:r>
      <w:r w:rsidRPr="00A76FF1">
        <w:rPr>
          <w:rFonts w:ascii="Noto Sans" w:hAnsi="Noto Sans" w:cs="Noto Sans"/>
          <w:sz w:val="20"/>
          <w:szCs w:val="20"/>
        </w:rPr>
        <w:t xml:space="preserve"> </w:t>
      </w:r>
      <w:r w:rsidR="002A2284" w:rsidRPr="00A76FF1">
        <w:rPr>
          <w:rFonts w:ascii="Noto Sans" w:hAnsi="Noto Sans" w:cs="Noto Sans"/>
          <w:sz w:val="20"/>
          <w:szCs w:val="20"/>
        </w:rPr>
        <w:t>+373 78 80 05 97</w:t>
      </w:r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sau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ne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scrieți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pe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adresa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electronică:</w:t>
      </w:r>
      <w:r w:rsidR="004647A3" w:rsidRPr="00A76FF1">
        <w:rPr>
          <w:rFonts w:ascii="Noto Sans" w:hAnsi="Noto Sans" w:cs="Noto Sans"/>
          <w:sz w:val="20"/>
          <w:szCs w:val="20"/>
        </w:rPr>
        <w:t>m</w:t>
      </w:r>
      <w:hyperlink r:id="rId10" w:history="1">
        <w:r w:rsidR="004647A3" w:rsidRPr="00A76FF1">
          <w:rPr>
            <w:rStyle w:val="Hyperlink"/>
            <w:rFonts w:ascii="Noto Sans" w:hAnsi="Noto Sans" w:cs="Noto Sans"/>
            <w:b/>
            <w:bCs/>
            <w:sz w:val="20"/>
            <w:szCs w:val="20"/>
          </w:rPr>
          <w:t>procurement@caritas.md</w:t>
        </w:r>
        <w:proofErr w:type="spellEnd"/>
      </w:hyperlink>
    </w:p>
    <w:p w14:paraId="4DDC2821" w14:textId="7C8A1803" w:rsidR="007018D1" w:rsidRPr="00A76FF1" w:rsidRDefault="00167A31" w:rsidP="00167A31">
      <w:pPr>
        <w:pStyle w:val="ListParagraph"/>
        <w:numPr>
          <w:ilvl w:val="0"/>
          <w:numId w:val="6"/>
        </w:num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r w:rsidRPr="00A76FF1">
        <w:rPr>
          <w:rFonts w:ascii="Noto Sans" w:hAnsi="Noto Sans" w:cs="Noto Sans"/>
          <w:b/>
          <w:bCs/>
          <w:sz w:val="20"/>
          <w:szCs w:val="20"/>
        </w:rPr>
        <w:t>ETICĂ, INTEGRITATE ȘI CONFORMITATE</w:t>
      </w:r>
    </w:p>
    <w:p w14:paraId="54D1604D" w14:textId="21AE4108" w:rsidR="007212FB" w:rsidRPr="00A76FF1" w:rsidRDefault="007212FB" w:rsidP="007212FB">
      <w:p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Furnizorul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selectat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se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obligă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respecte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legislația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Republicii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Moldova,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standardele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internaționale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aplicabile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politicile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Fundației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Binefacere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Caritas Moldova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privind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etica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conformitatea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. </w:t>
      </w:r>
      <w:proofErr w:type="spellStart"/>
      <w:r w:rsidRPr="00A76FF1">
        <w:rPr>
          <w:rFonts w:ascii="Noto Sans" w:hAnsi="Noto Sans" w:cs="Noto Sans"/>
          <w:sz w:val="20"/>
          <w:szCs w:val="20"/>
        </w:rPr>
        <w:t>Nerespectarea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oricăreia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dintre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obligațiile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mai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jos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poate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constitui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motiv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pentru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>respingerea</w:t>
      </w:r>
      <w:proofErr w:type="spellEnd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>ofertei</w:t>
      </w:r>
      <w:proofErr w:type="spellEnd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>rezilierea</w:t>
      </w:r>
      <w:proofErr w:type="spellEnd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>contractului</w:t>
      </w:r>
      <w:proofErr w:type="spellEnd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>și</w:t>
      </w:r>
      <w:proofErr w:type="spellEnd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>/</w:t>
      </w:r>
      <w:proofErr w:type="spellStart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>sau</w:t>
      </w:r>
      <w:proofErr w:type="spellEnd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>excluderea</w:t>
      </w:r>
      <w:proofErr w:type="spellEnd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 xml:space="preserve"> din </w:t>
      </w:r>
      <w:proofErr w:type="spellStart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>procedurile</w:t>
      </w:r>
      <w:proofErr w:type="spellEnd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b/>
          <w:bCs/>
          <w:color w:val="C0392B"/>
          <w:sz w:val="20"/>
          <w:szCs w:val="20"/>
        </w:rPr>
        <w:t>viitoare</w:t>
      </w:r>
      <w:proofErr w:type="spellEnd"/>
      <w:r w:rsidRPr="00A76FF1">
        <w:rPr>
          <w:rFonts w:ascii="Noto Sans" w:hAnsi="Noto Sans" w:cs="Noto Sans"/>
          <w:color w:val="333333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organizate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Caritas Moldova.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343"/>
        <w:gridCol w:w="5981"/>
      </w:tblGrid>
      <w:tr w:rsidR="007212FB" w:rsidRPr="00A76FF1" w14:paraId="3A62AACB" w14:textId="77777777" w:rsidTr="00BA1F97">
        <w:trPr>
          <w:tblHeader/>
        </w:trPr>
        <w:tc>
          <w:tcPr>
            <w:tcW w:w="445" w:type="dxa"/>
            <w:tcBorders>
              <w:top w:val="single" w:sz="4" w:space="0" w:color="C0392B"/>
              <w:left w:val="single" w:sz="4" w:space="0" w:color="C0392B"/>
              <w:bottom w:val="single" w:sz="4" w:space="0" w:color="C0392B"/>
              <w:right w:val="single" w:sz="4" w:space="0" w:color="C0392B"/>
            </w:tcBorders>
            <w:shd w:val="clear" w:color="auto" w:fill="DAE9F7" w:themeFill="text2" w:themeFillTint="1A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  <w:hideMark/>
          </w:tcPr>
          <w:p w14:paraId="7F684E4C" w14:textId="77777777" w:rsidR="007212FB" w:rsidRPr="00A76FF1" w:rsidRDefault="007212FB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76FF1">
              <w:rPr>
                <w:rFonts w:ascii="Noto Sans" w:hAnsi="Noto Sans" w:cs="Noto Sans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376" w:type="dxa"/>
            <w:tcBorders>
              <w:top w:val="single" w:sz="4" w:space="0" w:color="C0392B"/>
              <w:left w:val="single" w:sz="4" w:space="0" w:color="C0392B"/>
              <w:bottom w:val="single" w:sz="4" w:space="0" w:color="C0392B"/>
              <w:right w:val="single" w:sz="4" w:space="0" w:color="C0392B"/>
            </w:tcBorders>
            <w:shd w:val="clear" w:color="auto" w:fill="DAE9F7" w:themeFill="text2" w:themeFillTint="1A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  <w:hideMark/>
          </w:tcPr>
          <w:p w14:paraId="5F90C221" w14:textId="77777777" w:rsidR="007212FB" w:rsidRPr="00A76FF1" w:rsidRDefault="007212FB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b/>
                <w:bCs/>
                <w:sz w:val="20"/>
                <w:szCs w:val="20"/>
              </w:rPr>
              <w:t>Domeniu</w:t>
            </w:r>
            <w:proofErr w:type="spellEnd"/>
          </w:p>
        </w:tc>
        <w:tc>
          <w:tcPr>
            <w:tcW w:w="6074" w:type="dxa"/>
            <w:tcBorders>
              <w:top w:val="single" w:sz="4" w:space="0" w:color="C0392B"/>
              <w:left w:val="single" w:sz="4" w:space="0" w:color="C0392B"/>
              <w:bottom w:val="single" w:sz="4" w:space="0" w:color="C0392B"/>
              <w:right w:val="single" w:sz="4" w:space="0" w:color="C0392B"/>
            </w:tcBorders>
            <w:shd w:val="clear" w:color="auto" w:fill="DAE9F7" w:themeFill="text2" w:themeFillTint="1A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  <w:hideMark/>
          </w:tcPr>
          <w:p w14:paraId="4F744407" w14:textId="77777777" w:rsidR="007212FB" w:rsidRPr="00A76FF1" w:rsidRDefault="007212FB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b/>
                <w:bCs/>
                <w:sz w:val="20"/>
                <w:szCs w:val="20"/>
              </w:rPr>
              <w:t>Obligații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sz w:val="20"/>
                <w:szCs w:val="20"/>
              </w:rPr>
              <w:t>specifice</w:t>
            </w:r>
            <w:proofErr w:type="spellEnd"/>
          </w:p>
        </w:tc>
      </w:tr>
      <w:tr w:rsidR="007212FB" w:rsidRPr="00A76FF1" w14:paraId="4FCA0484" w14:textId="77777777" w:rsidTr="00BA1F97">
        <w:tc>
          <w:tcPr>
            <w:tcW w:w="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763EF6F3" w14:textId="77777777" w:rsidR="007212FB" w:rsidRPr="00A76FF1" w:rsidRDefault="007212FB">
            <w:pPr>
              <w:spacing w:line="276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1.</w:t>
            </w:r>
          </w:p>
        </w:tc>
        <w:tc>
          <w:tcPr>
            <w:tcW w:w="33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6894B3DF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Legislația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muncii</w:t>
            </w:r>
            <w:proofErr w:type="spellEnd"/>
          </w:p>
        </w:tc>
        <w:tc>
          <w:tcPr>
            <w:tcW w:w="607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2BC56BEC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Asigurarea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condițiilor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de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muncă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sigure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echitabile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;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interzicerea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muncii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copiilor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muncii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forțate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a</w:t>
            </w:r>
            <w:proofErr w:type="gram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oricărei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forme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de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exploatare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.</w:t>
            </w:r>
          </w:p>
        </w:tc>
      </w:tr>
      <w:tr w:rsidR="007212FB" w:rsidRPr="00A76FF1" w14:paraId="39DB21C8" w14:textId="77777777" w:rsidTr="00BA1F97">
        <w:tc>
          <w:tcPr>
            <w:tcW w:w="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141C163F" w14:textId="77777777" w:rsidR="007212FB" w:rsidRPr="00A76FF1" w:rsidRDefault="007212FB">
            <w:pPr>
              <w:spacing w:line="276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2.</w:t>
            </w:r>
          </w:p>
        </w:tc>
        <w:tc>
          <w:tcPr>
            <w:tcW w:w="33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148E1DA5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Toleranță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zero la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corupție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fraudă</w:t>
            </w:r>
            <w:proofErr w:type="spellEnd"/>
          </w:p>
        </w:tc>
        <w:tc>
          <w:tcPr>
            <w:tcW w:w="607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2B14039B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Interzicerea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oricărei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forme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de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mită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fraudă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, conflict de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interese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sau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practici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anticoncurențiale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. Orice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încălcare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atrage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excluderea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din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procedură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sau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rezilierea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contractului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.</w:t>
            </w:r>
          </w:p>
        </w:tc>
      </w:tr>
      <w:tr w:rsidR="007212FB" w:rsidRPr="00A76FF1" w14:paraId="55D5A999" w14:textId="77777777" w:rsidTr="00BA1F97">
        <w:tc>
          <w:tcPr>
            <w:tcW w:w="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26ABD2A5" w14:textId="77777777" w:rsidR="007212FB" w:rsidRPr="00A76FF1" w:rsidRDefault="007212FB">
            <w:pPr>
              <w:spacing w:line="276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3.</w:t>
            </w:r>
          </w:p>
        </w:tc>
        <w:tc>
          <w:tcPr>
            <w:tcW w:w="33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28BCC761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PSEAH / SEAH —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Protecția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față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de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exploatare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abuz</w:t>
            </w:r>
            <w:proofErr w:type="spellEnd"/>
          </w:p>
        </w:tc>
        <w:tc>
          <w:tcPr>
            <w:tcW w:w="607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6D3999FE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Respectarea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politicilor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Caritas Moldova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privind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protecția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beneficiarilor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Interzicerea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perceperii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oricăror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taxe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favoruri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sau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beneficii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din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partea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beneficiarilor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organizației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.</w:t>
            </w:r>
          </w:p>
        </w:tc>
      </w:tr>
      <w:tr w:rsidR="007212FB" w:rsidRPr="00A76FF1" w14:paraId="78BB6E9C" w14:textId="77777777" w:rsidTr="00BA1F97">
        <w:tc>
          <w:tcPr>
            <w:tcW w:w="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00D82409" w14:textId="77777777" w:rsidR="007212FB" w:rsidRPr="00A76FF1" w:rsidRDefault="007212FB">
            <w:pPr>
              <w:spacing w:line="276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4.</w:t>
            </w:r>
          </w:p>
        </w:tc>
        <w:tc>
          <w:tcPr>
            <w:tcW w:w="33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7EEB0B63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Safeguarding —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Protecția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copilului</w:t>
            </w:r>
            <w:proofErr w:type="spellEnd"/>
          </w:p>
        </w:tc>
        <w:tc>
          <w:tcPr>
            <w:tcW w:w="607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1A20D5EC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Respectarea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principiilor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de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protecție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a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copilului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prevenirea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oricărei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forme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de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abuz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neglijare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sau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exploatare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.</w:t>
            </w:r>
          </w:p>
        </w:tc>
      </w:tr>
      <w:tr w:rsidR="007212FB" w:rsidRPr="00A76FF1" w14:paraId="2C74B8DB" w14:textId="77777777" w:rsidTr="00BA1F97">
        <w:tc>
          <w:tcPr>
            <w:tcW w:w="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498F597F" w14:textId="77777777" w:rsidR="007212FB" w:rsidRPr="00A76FF1" w:rsidRDefault="007212FB">
            <w:pPr>
              <w:spacing w:line="276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5.</w:t>
            </w:r>
          </w:p>
        </w:tc>
        <w:tc>
          <w:tcPr>
            <w:tcW w:w="33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1B693CAC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Protecția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mediului</w:t>
            </w:r>
            <w:proofErr w:type="spellEnd"/>
          </w:p>
        </w:tc>
        <w:tc>
          <w:tcPr>
            <w:tcW w:w="607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2F495CAA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Aplicarea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unor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practici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responsabile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față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de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mediu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respectarea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legislației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de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mediu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în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vigoare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.</w:t>
            </w:r>
          </w:p>
        </w:tc>
      </w:tr>
      <w:tr w:rsidR="007212FB" w:rsidRPr="00A76FF1" w14:paraId="27CF9266" w14:textId="77777777" w:rsidTr="00BA1F97">
        <w:tc>
          <w:tcPr>
            <w:tcW w:w="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14E46DE5" w14:textId="77777777" w:rsidR="007212FB" w:rsidRPr="00A76FF1" w:rsidRDefault="007212FB">
            <w:pPr>
              <w:spacing w:line="276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6.</w:t>
            </w:r>
          </w:p>
        </w:tc>
        <w:tc>
          <w:tcPr>
            <w:tcW w:w="33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1A58B6D8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Protecția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datelor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confidențialitate</w:t>
            </w:r>
            <w:proofErr w:type="spellEnd"/>
          </w:p>
        </w:tc>
        <w:tc>
          <w:tcPr>
            <w:tcW w:w="607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4F4F4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586B4F57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Respectarea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confidențialității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informațiilor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protecția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datelor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cu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caracter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personal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obținute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în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cadrul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executării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contractului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.</w:t>
            </w:r>
          </w:p>
        </w:tc>
      </w:tr>
      <w:tr w:rsidR="007212FB" w:rsidRPr="00A76FF1" w14:paraId="77A891D7" w14:textId="77777777" w:rsidTr="00BA1F97">
        <w:tc>
          <w:tcPr>
            <w:tcW w:w="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61302C11" w14:textId="77777777" w:rsidR="007212FB" w:rsidRPr="00A76FF1" w:rsidRDefault="007212FB">
            <w:pPr>
              <w:spacing w:line="276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7.</w:t>
            </w:r>
          </w:p>
        </w:tc>
        <w:tc>
          <w:tcPr>
            <w:tcW w:w="33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1017804A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Dreptul</w:t>
            </w:r>
            <w:proofErr w:type="spellEnd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 xml:space="preserve"> de </w:t>
            </w:r>
            <w:proofErr w:type="spellStart"/>
            <w:r w:rsidRPr="00A76FF1">
              <w:rPr>
                <w:rFonts w:ascii="Noto Sans" w:hAnsi="Noto Sans" w:cs="Noto Sans"/>
                <w:b/>
                <w:bCs/>
                <w:color w:val="7B1A1A"/>
                <w:sz w:val="20"/>
                <w:szCs w:val="20"/>
              </w:rPr>
              <w:t>verificare</w:t>
            </w:r>
            <w:proofErr w:type="spellEnd"/>
          </w:p>
        </w:tc>
        <w:tc>
          <w:tcPr>
            <w:tcW w:w="607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90" w:type="dxa"/>
              <w:left w:w="130" w:type="dxa"/>
              <w:bottom w:w="90" w:type="dxa"/>
              <w:right w:w="130" w:type="dxa"/>
            </w:tcMar>
            <w:vAlign w:val="center"/>
            <w:hideMark/>
          </w:tcPr>
          <w:p w14:paraId="70A150E0" w14:textId="77777777" w:rsidR="007212FB" w:rsidRPr="00A76FF1" w:rsidRDefault="007212FB">
            <w:pPr>
              <w:spacing w:line="276" w:lineRule="auto"/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Furnizorul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cooperează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cu Caritas Moldova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pune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la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dispoziție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documentele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necesare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verificării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respectării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obligațiilor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de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etică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și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conformitate</w:t>
            </w:r>
            <w:proofErr w:type="spellEnd"/>
            <w:r w:rsidRPr="00A76FF1">
              <w:rPr>
                <w:rFonts w:ascii="Noto Sans" w:hAnsi="Noto Sans" w:cs="Noto Sans"/>
                <w:color w:val="333333"/>
                <w:sz w:val="20"/>
                <w:szCs w:val="20"/>
              </w:rPr>
              <w:t>.</w:t>
            </w:r>
          </w:p>
        </w:tc>
      </w:tr>
    </w:tbl>
    <w:p w14:paraId="2C880364" w14:textId="77777777" w:rsidR="007212FB" w:rsidRPr="00A76FF1" w:rsidRDefault="007212FB" w:rsidP="007212FB">
      <w:p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9E7CAFB" w14:textId="09448375" w:rsidR="00D60D7B" w:rsidRPr="00A76FF1" w:rsidRDefault="00D60D7B" w:rsidP="00D60D7B">
      <w:pPr>
        <w:pStyle w:val="ListParagraph"/>
        <w:numPr>
          <w:ilvl w:val="0"/>
          <w:numId w:val="6"/>
        </w:num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b/>
          <w:bCs/>
          <w:sz w:val="20"/>
          <w:szCs w:val="20"/>
        </w:rPr>
        <w:t>Dispoziții</w:t>
      </w:r>
      <w:proofErr w:type="spellEnd"/>
      <w:r w:rsidRPr="00A76FF1">
        <w:rPr>
          <w:rFonts w:ascii="Noto Sans" w:hAnsi="Noto Sans" w:cs="Noto Sans"/>
          <w:b/>
          <w:bCs/>
          <w:sz w:val="20"/>
          <w:szCs w:val="20"/>
        </w:rPr>
        <w:t xml:space="preserve"> finale</w:t>
      </w:r>
    </w:p>
    <w:p w14:paraId="4C62F3C6" w14:textId="77777777" w:rsidR="00D60D7B" w:rsidRPr="00A76FF1" w:rsidRDefault="00D60D7B" w:rsidP="00D60D7B">
      <w:pPr>
        <w:numPr>
          <w:ilvl w:val="0"/>
          <w:numId w:val="14"/>
        </w:num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Caritas Moldova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îți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rezervă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dreptul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gramStart"/>
      <w:r w:rsidRPr="00A76FF1">
        <w:rPr>
          <w:rFonts w:ascii="Noto Sans" w:hAnsi="Noto Sans" w:cs="Noto Sans"/>
          <w:sz w:val="20"/>
          <w:szCs w:val="20"/>
        </w:rPr>
        <w:t>a</w:t>
      </w:r>
      <w:proofErr w:type="gram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anula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procedura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selecție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orice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etapă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fără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a fi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obligată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la </w:t>
      </w:r>
      <w:proofErr w:type="spellStart"/>
      <w:r w:rsidRPr="00A76FF1">
        <w:rPr>
          <w:rFonts w:ascii="Noto Sans" w:hAnsi="Noto Sans" w:cs="Noto Sans"/>
          <w:sz w:val="20"/>
          <w:szCs w:val="20"/>
        </w:rPr>
        <w:t>despăgubiri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față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participanți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p w14:paraId="0B2EBEB0" w14:textId="77777777" w:rsidR="00D60D7B" w:rsidRPr="00A76FF1" w:rsidRDefault="00D60D7B" w:rsidP="00D60D7B">
      <w:pPr>
        <w:numPr>
          <w:ilvl w:val="0"/>
          <w:numId w:val="14"/>
        </w:num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Depunerea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unei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nu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obligă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Fundația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să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încheie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gramStart"/>
      <w:r w:rsidRPr="00A76FF1">
        <w:rPr>
          <w:rFonts w:ascii="Noto Sans" w:hAnsi="Noto Sans" w:cs="Noto Sans"/>
          <w:sz w:val="20"/>
          <w:szCs w:val="20"/>
        </w:rPr>
        <w:t>un contract</w:t>
      </w:r>
      <w:proofErr w:type="gramEnd"/>
      <w:r w:rsidRPr="00A76FF1">
        <w:rPr>
          <w:rFonts w:ascii="Noto Sans" w:hAnsi="Noto Sans" w:cs="Noto Sans"/>
          <w:sz w:val="20"/>
          <w:szCs w:val="20"/>
        </w:rPr>
        <w:t xml:space="preserve">. </w:t>
      </w:r>
      <w:proofErr w:type="spellStart"/>
      <w:r w:rsidRPr="00A76FF1">
        <w:rPr>
          <w:rFonts w:ascii="Noto Sans" w:hAnsi="Noto Sans" w:cs="Noto Sans"/>
          <w:sz w:val="20"/>
          <w:szCs w:val="20"/>
        </w:rPr>
        <w:t>Prezentul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document nu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constituie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un </w:t>
      </w:r>
      <w:proofErr w:type="spellStart"/>
      <w:r w:rsidRPr="00A76FF1">
        <w:rPr>
          <w:rFonts w:ascii="Noto Sans" w:hAnsi="Noto Sans" w:cs="Noto Sans"/>
          <w:sz w:val="20"/>
          <w:szCs w:val="20"/>
        </w:rPr>
        <w:t>angajament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contractual.</w:t>
      </w:r>
    </w:p>
    <w:p w14:paraId="1B560B8E" w14:textId="77777777" w:rsidR="00D60D7B" w:rsidRPr="00A76FF1" w:rsidRDefault="00D60D7B" w:rsidP="00D60D7B">
      <w:pPr>
        <w:numPr>
          <w:ilvl w:val="0"/>
          <w:numId w:val="14"/>
        </w:numPr>
        <w:spacing w:after="80" w:line="276" w:lineRule="auto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A76FF1">
        <w:rPr>
          <w:rFonts w:ascii="Noto Sans" w:hAnsi="Noto Sans" w:cs="Noto Sans"/>
          <w:sz w:val="20"/>
          <w:szCs w:val="20"/>
        </w:rPr>
        <w:t>Toate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informațiile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furnizate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ofertanți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vor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fi </w:t>
      </w:r>
      <w:proofErr w:type="spellStart"/>
      <w:r w:rsidRPr="00A76FF1">
        <w:rPr>
          <w:rFonts w:ascii="Noto Sans" w:hAnsi="Noto Sans" w:cs="Noto Sans"/>
          <w:sz w:val="20"/>
          <w:szCs w:val="20"/>
        </w:rPr>
        <w:t>tratate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cu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confidențialitate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de </w:t>
      </w:r>
      <w:proofErr w:type="spellStart"/>
      <w:r w:rsidRPr="00A76FF1">
        <w:rPr>
          <w:rFonts w:ascii="Noto Sans" w:hAnsi="Noto Sans" w:cs="Noto Sans"/>
          <w:sz w:val="20"/>
          <w:szCs w:val="20"/>
        </w:rPr>
        <w:t>către</w:t>
      </w:r>
      <w:proofErr w:type="spellEnd"/>
      <w:r w:rsidRPr="00A76FF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A76FF1">
        <w:rPr>
          <w:rFonts w:ascii="Noto Sans" w:hAnsi="Noto Sans" w:cs="Noto Sans"/>
          <w:sz w:val="20"/>
          <w:szCs w:val="20"/>
        </w:rPr>
        <w:t>Fundație</w:t>
      </w:r>
      <w:proofErr w:type="spellEnd"/>
      <w:r w:rsidRPr="00A76FF1">
        <w:rPr>
          <w:rFonts w:ascii="Noto Sans" w:hAnsi="Noto Sans" w:cs="Noto Sans"/>
          <w:sz w:val="20"/>
          <w:szCs w:val="20"/>
        </w:rPr>
        <w:t>.</w:t>
      </w:r>
    </w:p>
    <w:sectPr w:rsidR="00D60D7B" w:rsidRPr="00A76FF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4F20" w14:textId="77777777" w:rsidR="00902C11" w:rsidRDefault="00902C11" w:rsidP="00A76FF1">
      <w:pPr>
        <w:spacing w:after="0" w:line="240" w:lineRule="auto"/>
      </w:pPr>
      <w:r>
        <w:separator/>
      </w:r>
    </w:p>
  </w:endnote>
  <w:endnote w:type="continuationSeparator" w:id="0">
    <w:p w14:paraId="00A9F6E8" w14:textId="77777777" w:rsidR="00902C11" w:rsidRDefault="00902C11" w:rsidP="00A7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F689" w14:textId="77777777" w:rsidR="00902C11" w:rsidRDefault="00902C11" w:rsidP="00A76FF1">
      <w:pPr>
        <w:spacing w:after="0" w:line="240" w:lineRule="auto"/>
      </w:pPr>
      <w:r>
        <w:separator/>
      </w:r>
    </w:p>
  </w:footnote>
  <w:footnote w:type="continuationSeparator" w:id="0">
    <w:p w14:paraId="0C1631DB" w14:textId="77777777" w:rsidR="00902C11" w:rsidRDefault="00902C11" w:rsidP="00A7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8471" w14:textId="696E8680" w:rsidR="00A76FF1" w:rsidRDefault="00A76FF1">
    <w:pPr>
      <w:pStyle w:val="Header"/>
    </w:pPr>
    <w:r>
      <w:rPr>
        <w:noProof/>
      </w:rPr>
      <w:drawing>
        <wp:inline distT="0" distB="0" distL="0" distR="0" wp14:anchorId="502ABF7B" wp14:editId="2C50FD66">
          <wp:extent cx="808689" cy="808689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22" cy="826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857"/>
    <w:multiLevelType w:val="hybridMultilevel"/>
    <w:tmpl w:val="CAFA68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7C71D6"/>
    <w:multiLevelType w:val="hybridMultilevel"/>
    <w:tmpl w:val="B9986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B7B46"/>
    <w:multiLevelType w:val="multilevel"/>
    <w:tmpl w:val="08343210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63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D032E26"/>
    <w:multiLevelType w:val="hybridMultilevel"/>
    <w:tmpl w:val="469E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6624"/>
    <w:multiLevelType w:val="hybridMultilevel"/>
    <w:tmpl w:val="9D10F550"/>
    <w:lvl w:ilvl="0" w:tplc="BFBC2F4A">
      <w:start w:val="1"/>
      <w:numFmt w:val="bullet"/>
      <w:lvlText w:val="•"/>
      <w:lvlJc w:val="left"/>
      <w:pPr>
        <w:ind w:left="540" w:hanging="300"/>
      </w:pPr>
    </w:lvl>
    <w:lvl w:ilvl="1" w:tplc="8C12230A">
      <w:numFmt w:val="decimal"/>
      <w:lvlText w:val=""/>
      <w:lvlJc w:val="left"/>
    </w:lvl>
    <w:lvl w:ilvl="2" w:tplc="BF06D09E">
      <w:numFmt w:val="decimal"/>
      <w:lvlText w:val=""/>
      <w:lvlJc w:val="left"/>
    </w:lvl>
    <w:lvl w:ilvl="3" w:tplc="C02CCB84">
      <w:numFmt w:val="decimal"/>
      <w:lvlText w:val=""/>
      <w:lvlJc w:val="left"/>
    </w:lvl>
    <w:lvl w:ilvl="4" w:tplc="182E2444">
      <w:numFmt w:val="decimal"/>
      <w:lvlText w:val=""/>
      <w:lvlJc w:val="left"/>
    </w:lvl>
    <w:lvl w:ilvl="5" w:tplc="99306BF0">
      <w:numFmt w:val="decimal"/>
      <w:lvlText w:val=""/>
      <w:lvlJc w:val="left"/>
    </w:lvl>
    <w:lvl w:ilvl="6" w:tplc="5F9A2E96">
      <w:numFmt w:val="decimal"/>
      <w:lvlText w:val=""/>
      <w:lvlJc w:val="left"/>
    </w:lvl>
    <w:lvl w:ilvl="7" w:tplc="8F38D248">
      <w:numFmt w:val="decimal"/>
      <w:lvlText w:val=""/>
      <w:lvlJc w:val="left"/>
    </w:lvl>
    <w:lvl w:ilvl="8" w:tplc="D18EA9F0">
      <w:numFmt w:val="decimal"/>
      <w:lvlText w:val=""/>
      <w:lvlJc w:val="left"/>
    </w:lvl>
  </w:abstractNum>
  <w:abstractNum w:abstractNumId="5" w15:restartNumberingAfterBreak="0">
    <w:nsid w:val="2B9A6043"/>
    <w:multiLevelType w:val="multilevel"/>
    <w:tmpl w:val="51AE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C2561"/>
    <w:multiLevelType w:val="hybridMultilevel"/>
    <w:tmpl w:val="685044B8"/>
    <w:lvl w:ilvl="0" w:tplc="CB0C3CF8">
      <w:start w:val="1"/>
      <w:numFmt w:val="bullet"/>
      <w:lvlText w:val="•"/>
      <w:lvlJc w:val="left"/>
      <w:pPr>
        <w:ind w:left="560" w:hanging="320"/>
      </w:pPr>
    </w:lvl>
    <w:lvl w:ilvl="1" w:tplc="60B0BCC4">
      <w:numFmt w:val="decimal"/>
      <w:lvlText w:val=""/>
      <w:lvlJc w:val="left"/>
      <w:pPr>
        <w:ind w:left="0" w:firstLine="0"/>
      </w:pPr>
    </w:lvl>
    <w:lvl w:ilvl="2" w:tplc="4F54DBD6">
      <w:numFmt w:val="decimal"/>
      <w:lvlText w:val=""/>
      <w:lvlJc w:val="left"/>
      <w:pPr>
        <w:ind w:left="0" w:firstLine="0"/>
      </w:pPr>
    </w:lvl>
    <w:lvl w:ilvl="3" w:tplc="47B67B02">
      <w:numFmt w:val="decimal"/>
      <w:lvlText w:val=""/>
      <w:lvlJc w:val="left"/>
      <w:pPr>
        <w:ind w:left="0" w:firstLine="0"/>
      </w:pPr>
    </w:lvl>
    <w:lvl w:ilvl="4" w:tplc="7474E1EA">
      <w:numFmt w:val="decimal"/>
      <w:lvlText w:val=""/>
      <w:lvlJc w:val="left"/>
      <w:pPr>
        <w:ind w:left="0" w:firstLine="0"/>
      </w:pPr>
    </w:lvl>
    <w:lvl w:ilvl="5" w:tplc="58AC2B24">
      <w:numFmt w:val="decimal"/>
      <w:lvlText w:val=""/>
      <w:lvlJc w:val="left"/>
      <w:pPr>
        <w:ind w:left="0" w:firstLine="0"/>
      </w:pPr>
    </w:lvl>
    <w:lvl w:ilvl="6" w:tplc="673CC342">
      <w:numFmt w:val="decimal"/>
      <w:lvlText w:val=""/>
      <w:lvlJc w:val="left"/>
      <w:pPr>
        <w:ind w:left="0" w:firstLine="0"/>
      </w:pPr>
    </w:lvl>
    <w:lvl w:ilvl="7" w:tplc="45D6B2E6">
      <w:numFmt w:val="decimal"/>
      <w:lvlText w:val=""/>
      <w:lvlJc w:val="left"/>
      <w:pPr>
        <w:ind w:left="0" w:firstLine="0"/>
      </w:pPr>
    </w:lvl>
    <w:lvl w:ilvl="8" w:tplc="AF04B6E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A66616B"/>
    <w:multiLevelType w:val="multilevel"/>
    <w:tmpl w:val="A470F6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8" w15:restartNumberingAfterBreak="0">
    <w:nsid w:val="4BB053E6"/>
    <w:multiLevelType w:val="hybridMultilevel"/>
    <w:tmpl w:val="ECD691C0"/>
    <w:lvl w:ilvl="0" w:tplc="08C84E78">
      <w:start w:val="1"/>
      <w:numFmt w:val="bullet"/>
      <w:lvlText w:val="•"/>
      <w:lvlJc w:val="left"/>
      <w:pPr>
        <w:ind w:left="720" w:hanging="360"/>
      </w:pPr>
    </w:lvl>
    <w:lvl w:ilvl="1" w:tplc="B6BA756E">
      <w:numFmt w:val="decimal"/>
      <w:lvlText w:val=""/>
      <w:lvlJc w:val="left"/>
    </w:lvl>
    <w:lvl w:ilvl="2" w:tplc="8AA68A1A">
      <w:numFmt w:val="decimal"/>
      <w:lvlText w:val=""/>
      <w:lvlJc w:val="left"/>
    </w:lvl>
    <w:lvl w:ilvl="3" w:tplc="81F06798">
      <w:numFmt w:val="decimal"/>
      <w:lvlText w:val=""/>
      <w:lvlJc w:val="left"/>
    </w:lvl>
    <w:lvl w:ilvl="4" w:tplc="C09A8BAE">
      <w:numFmt w:val="decimal"/>
      <w:lvlText w:val=""/>
      <w:lvlJc w:val="left"/>
    </w:lvl>
    <w:lvl w:ilvl="5" w:tplc="FDFAFCBC">
      <w:numFmt w:val="decimal"/>
      <w:lvlText w:val=""/>
      <w:lvlJc w:val="left"/>
    </w:lvl>
    <w:lvl w:ilvl="6" w:tplc="83142FBE">
      <w:numFmt w:val="decimal"/>
      <w:lvlText w:val=""/>
      <w:lvlJc w:val="left"/>
    </w:lvl>
    <w:lvl w:ilvl="7" w:tplc="0BD43710">
      <w:numFmt w:val="decimal"/>
      <w:lvlText w:val=""/>
      <w:lvlJc w:val="left"/>
    </w:lvl>
    <w:lvl w:ilvl="8" w:tplc="B000642A">
      <w:numFmt w:val="decimal"/>
      <w:lvlText w:val=""/>
      <w:lvlJc w:val="left"/>
    </w:lvl>
  </w:abstractNum>
  <w:abstractNum w:abstractNumId="9" w15:restartNumberingAfterBreak="0">
    <w:nsid w:val="52CB75B5"/>
    <w:multiLevelType w:val="hybridMultilevel"/>
    <w:tmpl w:val="6A56C4E6"/>
    <w:lvl w:ilvl="0" w:tplc="2A0A0B94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95230"/>
    <w:multiLevelType w:val="hybridMultilevel"/>
    <w:tmpl w:val="47DE952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176EB"/>
    <w:multiLevelType w:val="multilevel"/>
    <w:tmpl w:val="01D6BEA4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405D2C"/>
    <w:multiLevelType w:val="multilevel"/>
    <w:tmpl w:val="124A03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EA8766D"/>
    <w:multiLevelType w:val="hybridMultilevel"/>
    <w:tmpl w:val="F5E60494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545D3"/>
    <w:multiLevelType w:val="hybridMultilevel"/>
    <w:tmpl w:val="F0E8B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50772"/>
    <w:multiLevelType w:val="multilevel"/>
    <w:tmpl w:val="83DE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C264AC"/>
    <w:multiLevelType w:val="multilevel"/>
    <w:tmpl w:val="D94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752438">
    <w:abstractNumId w:val="15"/>
  </w:num>
  <w:num w:numId="2" w16cid:durableId="451365577">
    <w:abstractNumId w:val="16"/>
  </w:num>
  <w:num w:numId="3" w16cid:durableId="79062434">
    <w:abstractNumId w:val="12"/>
  </w:num>
  <w:num w:numId="4" w16cid:durableId="852649747">
    <w:abstractNumId w:val="10"/>
  </w:num>
  <w:num w:numId="5" w16cid:durableId="837036035">
    <w:abstractNumId w:val="8"/>
    <w:lvlOverride w:ilvl="0">
      <w:startOverride w:val="1"/>
    </w:lvlOverride>
  </w:num>
  <w:num w:numId="6" w16cid:durableId="1153330546">
    <w:abstractNumId w:val="11"/>
  </w:num>
  <w:num w:numId="7" w16cid:durableId="751505874">
    <w:abstractNumId w:val="2"/>
  </w:num>
  <w:num w:numId="8" w16cid:durableId="1177769229">
    <w:abstractNumId w:val="3"/>
  </w:num>
  <w:num w:numId="9" w16cid:durableId="451554621">
    <w:abstractNumId w:val="5"/>
  </w:num>
  <w:num w:numId="10" w16cid:durableId="1392273200">
    <w:abstractNumId w:val="14"/>
  </w:num>
  <w:num w:numId="11" w16cid:durableId="586883018">
    <w:abstractNumId w:val="4"/>
    <w:lvlOverride w:ilvl="0">
      <w:startOverride w:val="1"/>
    </w:lvlOverride>
  </w:num>
  <w:num w:numId="12" w16cid:durableId="161242041">
    <w:abstractNumId w:val="13"/>
  </w:num>
  <w:num w:numId="13" w16cid:durableId="1837108898">
    <w:abstractNumId w:val="9"/>
  </w:num>
  <w:num w:numId="14" w16cid:durableId="56781892">
    <w:abstractNumId w:val="6"/>
  </w:num>
  <w:num w:numId="15" w16cid:durableId="1871185827">
    <w:abstractNumId w:val="7"/>
  </w:num>
  <w:num w:numId="16" w16cid:durableId="940916830">
    <w:abstractNumId w:val="1"/>
  </w:num>
  <w:num w:numId="17" w16cid:durableId="121322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98"/>
    <w:rsid w:val="00053AF5"/>
    <w:rsid w:val="000626C7"/>
    <w:rsid w:val="000807C6"/>
    <w:rsid w:val="00090E81"/>
    <w:rsid w:val="000E1E6C"/>
    <w:rsid w:val="001004B7"/>
    <w:rsid w:val="00100F94"/>
    <w:rsid w:val="00104D0F"/>
    <w:rsid w:val="001350BA"/>
    <w:rsid w:val="0014148E"/>
    <w:rsid w:val="00160354"/>
    <w:rsid w:val="00167A31"/>
    <w:rsid w:val="00192C21"/>
    <w:rsid w:val="00196FDC"/>
    <w:rsid w:val="001A5633"/>
    <w:rsid w:val="00202992"/>
    <w:rsid w:val="00216F03"/>
    <w:rsid w:val="00227D41"/>
    <w:rsid w:val="00236329"/>
    <w:rsid w:val="0025593E"/>
    <w:rsid w:val="00274B5E"/>
    <w:rsid w:val="002A2284"/>
    <w:rsid w:val="002B0FF1"/>
    <w:rsid w:val="002F6D42"/>
    <w:rsid w:val="00315B6F"/>
    <w:rsid w:val="003413D4"/>
    <w:rsid w:val="003D3065"/>
    <w:rsid w:val="003E72E1"/>
    <w:rsid w:val="003F06A4"/>
    <w:rsid w:val="00425974"/>
    <w:rsid w:val="00432FC6"/>
    <w:rsid w:val="004377EA"/>
    <w:rsid w:val="00451FF2"/>
    <w:rsid w:val="004647A3"/>
    <w:rsid w:val="005001CE"/>
    <w:rsid w:val="00514707"/>
    <w:rsid w:val="00532752"/>
    <w:rsid w:val="0055583B"/>
    <w:rsid w:val="00576FEB"/>
    <w:rsid w:val="005C0FA7"/>
    <w:rsid w:val="005C7DC9"/>
    <w:rsid w:val="005F30FB"/>
    <w:rsid w:val="005F683B"/>
    <w:rsid w:val="00614885"/>
    <w:rsid w:val="006318E4"/>
    <w:rsid w:val="006B1F45"/>
    <w:rsid w:val="007018D1"/>
    <w:rsid w:val="00710A3A"/>
    <w:rsid w:val="00711475"/>
    <w:rsid w:val="007212FB"/>
    <w:rsid w:val="007352A6"/>
    <w:rsid w:val="00780F84"/>
    <w:rsid w:val="00790F60"/>
    <w:rsid w:val="007A28A8"/>
    <w:rsid w:val="007A5350"/>
    <w:rsid w:val="007D4B86"/>
    <w:rsid w:val="00821462"/>
    <w:rsid w:val="00825C6B"/>
    <w:rsid w:val="008638FF"/>
    <w:rsid w:val="00892CF7"/>
    <w:rsid w:val="008C0790"/>
    <w:rsid w:val="008D010F"/>
    <w:rsid w:val="008E192E"/>
    <w:rsid w:val="00902C11"/>
    <w:rsid w:val="009407CA"/>
    <w:rsid w:val="009B70BD"/>
    <w:rsid w:val="009C07C8"/>
    <w:rsid w:val="009E4F26"/>
    <w:rsid w:val="00A76FF1"/>
    <w:rsid w:val="00A77C85"/>
    <w:rsid w:val="00AA4802"/>
    <w:rsid w:val="00AC3B64"/>
    <w:rsid w:val="00AE0BA0"/>
    <w:rsid w:val="00B234EC"/>
    <w:rsid w:val="00B33BB4"/>
    <w:rsid w:val="00B50972"/>
    <w:rsid w:val="00BA1F97"/>
    <w:rsid w:val="00BC0B90"/>
    <w:rsid w:val="00BD5168"/>
    <w:rsid w:val="00C038CF"/>
    <w:rsid w:val="00C064DF"/>
    <w:rsid w:val="00CA3C98"/>
    <w:rsid w:val="00CB386B"/>
    <w:rsid w:val="00D14860"/>
    <w:rsid w:val="00D30BDD"/>
    <w:rsid w:val="00D40119"/>
    <w:rsid w:val="00D60D7B"/>
    <w:rsid w:val="00D61ADD"/>
    <w:rsid w:val="00D80FB1"/>
    <w:rsid w:val="00D84820"/>
    <w:rsid w:val="00DC3A77"/>
    <w:rsid w:val="00DD122B"/>
    <w:rsid w:val="00E31386"/>
    <w:rsid w:val="00E4098A"/>
    <w:rsid w:val="00EF62D8"/>
    <w:rsid w:val="00F01890"/>
    <w:rsid w:val="00F07247"/>
    <w:rsid w:val="00F53F2E"/>
    <w:rsid w:val="00F54B55"/>
    <w:rsid w:val="00F64D0B"/>
    <w:rsid w:val="00F72671"/>
    <w:rsid w:val="00F82982"/>
    <w:rsid w:val="00FC480F"/>
    <w:rsid w:val="00FD3113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6716"/>
  <w15:chartTrackingRefBased/>
  <w15:docId w15:val="{C527CA44-715B-44C4-A688-4F972A4A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C9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A3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C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3C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28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FF1"/>
  </w:style>
  <w:style w:type="paragraph" w:styleId="Footer">
    <w:name w:val="footer"/>
    <w:basedOn w:val="Normal"/>
    <w:link w:val="FooterChar"/>
    <w:uiPriority w:val="99"/>
    <w:unhideWhenUsed/>
    <w:rsid w:val="00A7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caritas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caritas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cordia.md/fileadmin/user_upload/Moldova/tor-oferte/2026/ToR-Mobiler-Anexa2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DB2FE-29F8-4AA9-88BE-09F4C0B8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 Bruma</dc:creator>
  <cp:keywords/>
  <dc:description/>
  <cp:lastModifiedBy>Nicolai Bruma</cp:lastModifiedBy>
  <cp:revision>5</cp:revision>
  <cp:lastPrinted>2026-06-19T11:10:00Z</cp:lastPrinted>
  <dcterms:created xsi:type="dcterms:W3CDTF">2026-06-19T11:40:00Z</dcterms:created>
  <dcterms:modified xsi:type="dcterms:W3CDTF">2026-06-22T08:30:00Z</dcterms:modified>
</cp:coreProperties>
</file>