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Noto Sans" w:cs="Noto Sans" w:eastAsia="Noto Sans" w:hAnsi="Noto Sans"/>
          <w:b/>
          <w:bCs/>
          <w:color w:val="666666"/>
          <w:sz w:val="18"/>
          <w:szCs w:val="18"/>
        </w:rPr>
        <w:t xml:space="preserve">REZUMAT — TERMENI DE REFERINȚĂ</w:t>
      </w:r>
    </w:p>
    <w:p>
      <w:pPr>
        <w:spacing w:after="60"/>
      </w:pPr>
      <w:r>
        <w:rPr>
          <w:rFonts w:ascii="Noto Sans" w:cs="Noto Sans" w:eastAsia="Noto Sans" w:hAnsi="Noto Sans"/>
          <w:b/>
          <w:bCs/>
          <w:color w:val="9B2242"/>
          <w:sz w:val="32"/>
          <w:szCs w:val="32"/>
        </w:rPr>
        <w:t xml:space="preserve">Consultanță pentru evaluarea și consolidarea capacităților și practicilor de management al proiectelor/programelor — Caritas Moldova</w:t>
      </w:r>
    </w:p>
    <w:p>
      <w:pPr>
        <w:pBdr>
          <w:bottom w:val="single" w:color="9B2242" w:sz="16" w:space="6"/>
        </w:pBdr>
        <w:spacing w:after="260"/>
      </w:pPr>
      <w:r>
        <w:rPr>
          <w:rFonts w:ascii="Noto Sans" w:cs="Noto Sans" w:eastAsia="Noto Sans" w:hAnsi="Noto Sans"/>
          <w:i/>
          <w:iCs/>
          <w:color w:val="666666"/>
          <w:sz w:val="18"/>
          <w:szCs w:val="18"/>
        </w:rPr>
        <w:t xml:space="preserve">Versiunea 2 · 04.09.2026 · Document de rezumat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1. Context și viziune strategică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Caritas Moldova gestionează proiecte sociale, umanitare și de dezvoltare, finanțate de mai mulți donatori, într-un context marcat de parcursul european al Republicii Moldova. Organizația își propune să evalueze capacitățile actuale de Project Management și modul în care acestea sunt aplicate practic, nu doar teoretic.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Această evaluare este parte a unei direcții strategice mai ample (Strategia Caritas Moldova 2030), care vizează o organizație cu guvernanță solidă, echipe profesioniste, sisteme digitalizate și compatibilitate cu standardele Uniunii Europene (PCM, RBM, LFA, PRAG, DG ECHO, DG NEAR).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2. Scopul consultanței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Realizarea unei evaluări aprofundate, practice și strategice a sistemului de Project Management din Caritas Moldova, pe două dimensiuni complementare: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Dimensiunea individuală — competențele Project Managerilor de a gestiona proiecte în practică.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Dimensiunea organizațională — procese, instrumente, roluri și guvernanță care susțin managementul proiectelor.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Nu este o evaluare de performanță individuală în scop de HR, ci un exercițiu de dezvoltare organizațională, menit să pregătească Caritas Moldova pentru standarde europene și finanțări instituționale mai ample.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3. Obiective principale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Evaluarea competențelor practice ale Project Managerilor (tehnice, operaționale, digitale, de coordonare).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Analiza modului de gestionare a ciclului de proiect (start-up, planificare, monitorizare, închidere, lecții învățate).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Analiza proceselor, instrumentelor și sistemelor organizaționale existente.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Realizarea unui Gap Analysis față de standarde internaționale și europene (PMI, PMD Pro, PCM UE, PRAG).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Aplicarea unui model de maturitate a Project Management-ului (5 niveluri).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Elaborarea unui Roadmap de dezvoltare pe 12–24 luni și a recomandărilor pentru Faza II (training, manual, digitalizare, SOPs).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4. Domeniul evaluării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Evaluarea acoperă 9 componente ale sistemului de Project Management: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Project Cycle Management (PCM UE, RBM, LFA)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Planificare și management operațional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Management financiar (perspectiva PM + cerințe UE / PRAG)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Monitoring, Evaluation, Accountability and Learning (MEAL/MERL)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Risk and Issue Management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Donor Compliance și Reporting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Coordonare și comunicare (internă, externă, instituțională)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Procurement și Contract Management (PRAG)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Instrumente, sisteme și digitalizare în Project Management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5. Metodologia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Metodologia finală va fi propusă de consultant și agreată în etapa de inception. Se așteaptă o combinație de metode calitative și cantitative, cu accent pe aplicarea practică, printre care: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Desk review extins (documente strategice, instrumente, rapoarte, sisteme digitale)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Analiza unui eșantion reprezentativ de proiecte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Chestionare de autoevaluare (competențe și maturitate PM)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Interviuri individuale și focus grupuri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Exerciții practice și studii de caz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Benchmarking internațional (Caritas Europa, PMI, PMD Pro)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Model de maturitate PM pe 5 niveluri și Gap Analysis complet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Sesiuni de validare a constatărilor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6. Etapele consultanței și livrabilele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rPr>
          <w:tblHeader/>
        </w:trPr>
        <w:tc>
          <w:tcPr>
            <w:tcW w:type="pct" w:w="34%"/>
            <w:shd w:fill="9B224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20"/>
                <w:szCs w:val="20"/>
              </w:rPr>
              <w:t xml:space="preserve">Etapă</w:t>
            </w:r>
          </w:p>
        </w:tc>
        <w:tc>
          <w:tcPr>
            <w:tcW w:type="pct" w:w="66%"/>
            <w:shd w:fill="9B224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20"/>
                <w:szCs w:val="20"/>
              </w:rPr>
              <w:t xml:space="preserve">Livrabil principal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1. Inițiere și metodologie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Inception Report (metodologie finală, instrumente, plan de lucru, calendar)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2. Evaluarea capacităților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Data Collection Package (chestionare, interviuri, analiza instrumentelor și proiectelor)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3. Analiza rezultatelor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Draft Assessment Report (PM Maturity, Gap Analysis, Digital Readiness)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4. Validarea constatărilor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Validation Summary (feedback integrat)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5. Finalizarea evaluării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Final Assessment Report (recomandări finale)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6. Planul de dezvoltare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Project Management Capacity Development &amp; Improvement Plan (roadmap 12–24 luni)</w:t>
            </w:r>
          </w:p>
        </w:tc>
      </w:tr>
    </w:tbl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7. Faza II — Consolidarea capacităților (opțională, în funcție de rezultate)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Faza II nu este prestabilită, ci va fi conturată pe baza constatărilor din Faza I. Poate include: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Program de instruire practică — module tehnice (PCM UE, PRAG, MEAL), operaționale, digitale și de soft skills.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Manual intern de Project Management — proces standardizat, roluri, SOPs, instrumente, compliance UE.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Alte intervenții — coaching/mentoring, peer learning, project review periodic, sprijin pentru digitalizare, PM Governance Framework.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8. Profilul consultantului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Minimum 7–10 ani experiență relevantă în Project/Programme Management.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Experiență în evaluări organizaționale / capacity assessments și gap analysis.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Experiență obligatorie cu finanțări europene (PCM UE, RBM, LFA, PRAG, DG ECHO, DG NEAR, audituri UE).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Experiență în elaborarea manualelor de PM, SOPs și instrumente digitale (CRM, MEAL digital, Power BI).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Experiență în training practic, facilitare și coaching pentru Project Manageri.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Cunoașterea limbii române și engleze la nivel avansat.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9. Durată, ofertă și criterii de evaluare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Perioada consultanței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01.10.2026 – 31.12.2026 (Faza I)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Documente necesare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Scrisoare de intenție, ofertă tehnică, ofertă financiară, CV, portofoliu, minimum 2 referințe, documente administrative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Criterii de evaluare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Ofertă tehnică 40% · Experiență consultant 35% · Metodologie 15% · Ofertă financiară 10%</w:t>
            </w:r>
          </w:p>
        </w:tc>
      </w:tr>
      <w:tr>
        <w:tc>
          <w:tcPr>
            <w:tcW w:type="pct" w:w="30%"/>
            <w:shd w:fill="F6E9E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9B2242"/>
                <w:sz w:val="20"/>
                <w:szCs w:val="20"/>
              </w:rPr>
              <w:t xml:space="preserve">Structura financiară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ans" w:cs="Noto Sans" w:eastAsia="Noto Sans" w:hAnsi="Noto Sans"/>
                <w:color w:val="2B2B2B"/>
                <w:sz w:val="20"/>
                <w:szCs w:val="20"/>
              </w:rPr>
              <w:t xml:space="preserve">Tarif zilnic + număr de zile, defalcat pe cele 6 etape; estimări opționale pentru Faza II</w:t>
            </w:r>
          </w:p>
        </w:tc>
      </w:tr>
    </w:tbl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10. Confidențialitate și proprietate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Consultantul trebuie să respecte confidențialitatea strictă a informațiilor și a datelor personale (inclusiv principii GDPR), să protejeze identitatea participanților la interviuri și să prezinte constatările doar în formă agregată. Toate materialele produse (rapoarte, instrumente, manuale, SOPs) devin proprietatea exclusivă a Caritas Moldova.</w:t>
      </w:r>
    </w:p>
    <w:p>
      <w:pPr>
        <w:pStyle w:val="Heading1"/>
        <w:pBdr>
          <w:bottom w:val="single" w:color="9B2242" w:sz="8" w:space="4"/>
        </w:pBdr>
        <w:spacing w:after="140" w:before="320"/>
      </w:pPr>
      <w:r>
        <w:rPr>
          <w:rFonts w:ascii="Noto Sans" w:cs="Noto Sans" w:eastAsia="Noto Sans" w:hAnsi="Noto Sans"/>
          <w:b/>
          <w:bCs/>
          <w:color w:val="9B2242"/>
          <w:sz w:val="26"/>
          <w:szCs w:val="26"/>
        </w:rPr>
        <w:t xml:space="preserve">11. Dispoziții finale</w:t>
      </w:r>
    </w:p>
    <w:p>
      <w:pPr>
        <w:spacing w:after="140" w:line="300"/>
      </w:pPr>
      <w:r>
        <w:rPr>
          <w:rFonts w:ascii="Noto Sans" w:cs="Noto Sans" w:eastAsia="Noto Sans" w:hAnsi="Noto Sans"/>
          <w:color w:val="2B2B2B"/>
          <w:sz w:val="21"/>
          <w:szCs w:val="21"/>
        </w:rPr>
        <w:t xml:space="preserve">Caritas Moldova își rezervă dreptul de a modifica calendarul, de a solicita clarificări sau de a anula procesul de selecție. Consultantul selectat trebuie să respecte valorile organizației (demnitate umană, solidaritate, subsidiaritate, integritate, grijă pentru mediu) și standardele etice, de integritate și de protecție a datelor.</w:t>
      </w:r>
    </w:p>
    <w:p>
      <w:pPr>
        <w:pBdr>
          <w:top w:val="single" w:color="CCCCCC" w:sz="6" w:space="6"/>
        </w:pBdr>
        <w:spacing w:before="300"/>
      </w:pPr>
      <w:r>
        <w:rPr>
          <w:rFonts w:ascii="Noto Sans" w:cs="Noto Sans" w:eastAsia="Noto Sans" w:hAnsi="Noto Sans"/>
          <w:i/>
          <w:iCs/>
          <w:color w:val="666666"/>
          <w:sz w:val="18"/>
          <w:szCs w:val="18"/>
        </w:rPr>
        <w:t xml:space="preserve">Document generat ca rezumat al Termenilor de Referință (v2, 04.09.2026).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2026-09-10T14:09:13.466Z</dcterms:created>
  <dcterms:modified xsi:type="dcterms:W3CDTF">2026-09-10T14:09:13.477Z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