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11" w:rsidRDefault="00814E11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4A" w:rsidRDefault="002B004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A59" w:rsidRPr="00CD6A59" w:rsidRDefault="00CD6A59" w:rsidP="002B004A">
      <w:pPr>
        <w:pStyle w:val="Default"/>
        <w:jc w:val="center"/>
        <w:rPr>
          <w:sz w:val="28"/>
        </w:rPr>
      </w:pPr>
      <w:r w:rsidRPr="00CD6A59">
        <w:rPr>
          <w:b/>
          <w:bCs/>
          <w:sz w:val="40"/>
          <w:szCs w:val="36"/>
        </w:rPr>
        <w:t>CAIET DE SARCINI</w:t>
      </w:r>
    </w:p>
    <w:p w:rsidR="00814E11" w:rsidRDefault="00CD6A59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2B004A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PRIVIND ACHIZIŢIONAREA </w:t>
      </w:r>
      <w:r w:rsidR="002B004A" w:rsidRPr="002B004A">
        <w:rPr>
          <w:rFonts w:ascii="Times New Roman" w:hAnsi="Times New Roman" w:cs="Times New Roman"/>
          <w:b/>
          <w:bCs/>
          <w:color w:val="000000"/>
          <w:sz w:val="40"/>
          <w:szCs w:val="36"/>
        </w:rPr>
        <w:t>TEHN</w:t>
      </w:r>
      <w:r w:rsidR="00BE6CDB">
        <w:rPr>
          <w:rFonts w:ascii="Times New Roman" w:hAnsi="Times New Roman" w:cs="Times New Roman"/>
          <w:b/>
          <w:bCs/>
          <w:color w:val="000000"/>
          <w:sz w:val="40"/>
          <w:szCs w:val="36"/>
        </w:rPr>
        <w:t>ICII COMPUTERIZATE CALCULATOR ŞI PRINTER COLOR.</w:t>
      </w: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</w:p>
    <w:p w:rsidR="002B004A" w:rsidRDefault="00BE6CDB" w:rsidP="002B004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6"/>
        </w:rPr>
        <w:t>C</w:t>
      </w:r>
      <w:r w:rsidR="0088261E">
        <w:rPr>
          <w:rFonts w:ascii="Times New Roman" w:hAnsi="Times New Roman" w:cs="Times New Roman"/>
          <w:b/>
          <w:bCs/>
          <w:color w:val="000000"/>
          <w:sz w:val="32"/>
          <w:szCs w:val="36"/>
        </w:rPr>
        <w:t>inişeuţi</w:t>
      </w:r>
      <w:r w:rsidR="002B004A" w:rsidRPr="002B004A">
        <w:rPr>
          <w:rFonts w:ascii="Times New Roman" w:hAnsi="Times New Roman" w:cs="Times New Roman"/>
          <w:b/>
          <w:bCs/>
          <w:color w:val="000000"/>
          <w:sz w:val="32"/>
          <w:szCs w:val="36"/>
        </w:rPr>
        <w:t>,2019</w:t>
      </w:r>
    </w:p>
    <w:p w:rsidR="00EF7D3D" w:rsidRDefault="00EF7D3D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D3D" w:rsidRDefault="00EF7D3D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D3D" w:rsidRDefault="00EF7D3D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D3D" w:rsidRDefault="00EF7D3D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D3D" w:rsidRPr="00EF7D3D" w:rsidRDefault="00EF7D3D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EF7D3D" w:rsidRPr="00EF7D3D" w:rsidRDefault="00EF7D3D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EF7D3D" w:rsidRPr="00EF7D3D" w:rsidRDefault="00EF7D3D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2B004A" w:rsidRPr="002B004A" w:rsidRDefault="002B004A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2B004A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CUPRINS </w:t>
      </w:r>
    </w:p>
    <w:p w:rsidR="002B004A" w:rsidRPr="002B004A" w:rsidRDefault="002B004A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2B004A">
        <w:rPr>
          <w:rFonts w:ascii="Times New Roman" w:hAnsi="Times New Roman" w:cs="Times New Roman"/>
          <w:color w:val="000000"/>
          <w:sz w:val="32"/>
          <w:szCs w:val="28"/>
        </w:rPr>
        <w:t xml:space="preserve">1. GENERALITĂŢI </w:t>
      </w:r>
    </w:p>
    <w:p w:rsidR="002B004A" w:rsidRPr="002B004A" w:rsidRDefault="002B004A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2B004A">
        <w:rPr>
          <w:rFonts w:ascii="Times New Roman" w:hAnsi="Times New Roman" w:cs="Times New Roman"/>
          <w:color w:val="000000"/>
          <w:sz w:val="32"/>
          <w:szCs w:val="28"/>
        </w:rPr>
        <w:t xml:space="preserve">2. OBIECTUL PROCEDURII DE ACHIZIŢIE </w:t>
      </w:r>
    </w:p>
    <w:p w:rsidR="002B004A" w:rsidRPr="002B004A" w:rsidRDefault="002B004A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2B004A">
        <w:rPr>
          <w:rFonts w:ascii="Times New Roman" w:hAnsi="Times New Roman" w:cs="Times New Roman"/>
          <w:color w:val="000000"/>
          <w:sz w:val="32"/>
          <w:szCs w:val="28"/>
        </w:rPr>
        <w:t xml:space="preserve">3. SPECIFICAŢII TEHNICE </w:t>
      </w:r>
    </w:p>
    <w:p w:rsidR="002B004A" w:rsidRPr="002B004A" w:rsidRDefault="002B004A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2B004A">
        <w:rPr>
          <w:rFonts w:ascii="Times New Roman" w:hAnsi="Times New Roman" w:cs="Times New Roman"/>
          <w:color w:val="000000"/>
          <w:sz w:val="32"/>
          <w:szCs w:val="28"/>
        </w:rPr>
        <w:t xml:space="preserve">4. PERIOADA DE VALABILITATE A OFERTEI </w:t>
      </w:r>
    </w:p>
    <w:p w:rsidR="002B004A" w:rsidRPr="002B004A" w:rsidRDefault="002B004A" w:rsidP="002B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2B004A">
        <w:rPr>
          <w:rFonts w:ascii="Times New Roman" w:hAnsi="Times New Roman" w:cs="Times New Roman"/>
          <w:color w:val="000000"/>
          <w:sz w:val="32"/>
          <w:szCs w:val="28"/>
        </w:rPr>
        <w:t xml:space="preserve">5. MODALITĂŢI DE PLATĂ </w:t>
      </w:r>
    </w:p>
    <w:p w:rsidR="002B004A" w:rsidRPr="00EF7D3D" w:rsidRDefault="002B004A" w:rsidP="002B004A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F7D3D">
        <w:rPr>
          <w:rFonts w:ascii="Times New Roman" w:hAnsi="Times New Roman" w:cs="Times New Roman"/>
          <w:color w:val="000000"/>
          <w:sz w:val="32"/>
          <w:szCs w:val="28"/>
        </w:rPr>
        <w:t>6. PRECIZĂRI FINALE</w:t>
      </w:r>
    </w:p>
    <w:p w:rsidR="002B004A" w:rsidRDefault="002B004A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Default="00EF7D3D" w:rsidP="002B004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EF7D3D" w:rsidRPr="002B004A" w:rsidRDefault="00EF7D3D" w:rsidP="00EF7D3D">
      <w:pPr>
        <w:rPr>
          <w:rFonts w:ascii="Times New Roman" w:hAnsi="Times New Roman" w:cs="Times New Roman"/>
          <w:b/>
          <w:bCs/>
          <w:szCs w:val="24"/>
        </w:rPr>
      </w:pP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GENERALITĂŢI </w:t>
      </w: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Prezentul Caiet de Sarcini conține specificații tehnice, face parte integrantă din documentația de atribuire in vederea participării </w:t>
      </w:r>
      <w:r w:rsidRPr="0015605C">
        <w:rPr>
          <w:rFonts w:ascii="Times New Roman" w:hAnsi="Times New Roman" w:cs="Times New Roman"/>
          <w:b/>
          <w:bCs/>
          <w:sz w:val="24"/>
          <w:szCs w:val="24"/>
        </w:rPr>
        <w:t xml:space="preserve">la procedura competitivă-cerere de oferte </w:t>
      </w:r>
      <w:r w:rsidRPr="0015605C">
        <w:rPr>
          <w:rFonts w:ascii="Times New Roman" w:hAnsi="Times New Roman" w:cs="Times New Roman"/>
          <w:sz w:val="24"/>
          <w:szCs w:val="24"/>
        </w:rPr>
        <w:t xml:space="preserve">şi constituie ansamblul cerințelor minimale de bază cărora se elaborează de către fiecare ofertant propunerea tehnico-financiară, în condițiile în care criteriul de evaluare a ofertelor este </w:t>
      </w:r>
      <w:r w:rsidRPr="0015605C">
        <w:rPr>
          <w:rFonts w:ascii="Times New Roman" w:hAnsi="Times New Roman" w:cs="Times New Roman"/>
          <w:b/>
          <w:bCs/>
          <w:sz w:val="24"/>
          <w:szCs w:val="24"/>
        </w:rPr>
        <w:t xml:space="preserve">„cea mai </w:t>
      </w:r>
      <w:r w:rsidR="00635751">
        <w:rPr>
          <w:rFonts w:ascii="Times New Roman" w:hAnsi="Times New Roman" w:cs="Times New Roman"/>
          <w:b/>
          <w:bCs/>
          <w:sz w:val="24"/>
          <w:szCs w:val="24"/>
        </w:rPr>
        <w:t>optimă</w:t>
      </w:r>
      <w:r w:rsidRPr="0015605C">
        <w:rPr>
          <w:rFonts w:ascii="Times New Roman" w:hAnsi="Times New Roman" w:cs="Times New Roman"/>
          <w:b/>
          <w:bCs/>
          <w:sz w:val="24"/>
          <w:szCs w:val="24"/>
        </w:rPr>
        <w:t xml:space="preserve"> ofertă din punct de vedere economic</w:t>
      </w:r>
      <w:r w:rsidR="00635751">
        <w:rPr>
          <w:rFonts w:ascii="Times New Roman" w:hAnsi="Times New Roman" w:cs="Times New Roman"/>
          <w:b/>
          <w:bCs/>
          <w:sz w:val="24"/>
          <w:szCs w:val="24"/>
        </w:rPr>
        <w:t xml:space="preserve"> și tehnic</w:t>
      </w:r>
      <w:r w:rsidRPr="0015605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46A7A" w:rsidRDefault="00746A7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05C">
        <w:rPr>
          <w:rFonts w:ascii="Times New Roman" w:hAnsi="Times New Roman" w:cs="Times New Roman"/>
          <w:b/>
          <w:bCs/>
          <w:sz w:val="24"/>
          <w:szCs w:val="24"/>
        </w:rPr>
        <w:t xml:space="preserve">Ofertele de participare conțin: </w:t>
      </w:r>
    </w:p>
    <w:p w:rsidR="00E522B3" w:rsidRDefault="00E522B3" w:rsidP="00E522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flyer, booklet, catalog, price-list publicat de ofertant în varianta tipografică sau pe pagina WEB</w:t>
      </w:r>
      <w:r w:rsidR="00AE669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522B3" w:rsidRDefault="00AE669A" w:rsidP="00E522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605C" w:rsidRPr="00E522B3">
        <w:rPr>
          <w:rFonts w:ascii="Times New Roman" w:hAnsi="Times New Roman" w:cs="Times New Roman"/>
          <w:sz w:val="24"/>
          <w:szCs w:val="24"/>
        </w:rPr>
        <w:t>nformația generală despre operatorul economic;</w:t>
      </w:r>
    </w:p>
    <w:p w:rsidR="0015605C" w:rsidRPr="00E522B3" w:rsidRDefault="00E522B3" w:rsidP="00E522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solicitării ofertei și ștampila reprezentanței</w:t>
      </w:r>
      <w:r w:rsidR="00AE669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605C" w:rsidRDefault="0015605C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b/>
          <w:bCs/>
          <w:sz w:val="24"/>
          <w:szCs w:val="24"/>
        </w:rPr>
        <w:t xml:space="preserve">2. OBIECTUL PROCEDURII DE ACHIZIŢIE </w:t>
      </w:r>
    </w:p>
    <w:p w:rsidR="00D62017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Achiziționarea </w:t>
      </w:r>
      <w:r w:rsidR="0088261E">
        <w:rPr>
          <w:rFonts w:ascii="Times New Roman" w:hAnsi="Times New Roman" w:cs="Times New Roman"/>
          <w:sz w:val="24"/>
          <w:szCs w:val="24"/>
        </w:rPr>
        <w:t>calculatorului şi a printerului color</w:t>
      </w:r>
      <w:r w:rsidR="002B004A">
        <w:rPr>
          <w:rFonts w:ascii="Times New Roman" w:hAnsi="Times New Roman" w:cs="Times New Roman"/>
          <w:sz w:val="24"/>
          <w:szCs w:val="24"/>
        </w:rPr>
        <w:t>.</w:t>
      </w:r>
    </w:p>
    <w:p w:rsidR="0015605C" w:rsidRDefault="0015605C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05C">
        <w:rPr>
          <w:rFonts w:ascii="Times New Roman" w:hAnsi="Times New Roman" w:cs="Times New Roman"/>
          <w:b/>
          <w:bCs/>
          <w:sz w:val="24"/>
          <w:szCs w:val="24"/>
        </w:rPr>
        <w:t>3. SPECIFICAŢII TEHNICE</w:t>
      </w:r>
    </w:p>
    <w:tbl>
      <w:tblPr>
        <w:tblStyle w:val="a3"/>
        <w:tblW w:w="0" w:type="auto"/>
        <w:tblLook w:val="04A0"/>
      </w:tblPr>
      <w:tblGrid>
        <w:gridCol w:w="2900"/>
        <w:gridCol w:w="2962"/>
        <w:gridCol w:w="3709"/>
      </w:tblGrid>
      <w:tr w:rsidR="00331308" w:rsidRPr="0015605C" w:rsidTr="0043798C">
        <w:tc>
          <w:tcPr>
            <w:tcW w:w="2900" w:type="dxa"/>
            <w:vMerge w:val="restart"/>
            <w:tcBorders>
              <w:top w:val="single" w:sz="36" w:space="0" w:color="auto"/>
            </w:tcBorders>
          </w:tcPr>
          <w:p w:rsidR="00331308" w:rsidRPr="00412B82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8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88261E" w:rsidRPr="0041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alculator </w:t>
            </w:r>
          </w:p>
        </w:tc>
        <w:tc>
          <w:tcPr>
            <w:tcW w:w="2962" w:type="dxa"/>
            <w:tcBorders>
              <w:top w:val="single" w:sz="36" w:space="0" w:color="auto"/>
            </w:tcBorders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Diagonala Ecran</w:t>
            </w:r>
          </w:p>
        </w:tc>
        <w:tc>
          <w:tcPr>
            <w:tcW w:w="3709" w:type="dxa"/>
            <w:tcBorders>
              <w:top w:val="single" w:sz="36" w:space="0" w:color="auto"/>
            </w:tcBorders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23.6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Tip procesor(CPU)</w:t>
            </w:r>
          </w:p>
        </w:tc>
        <w:tc>
          <w:tcPr>
            <w:tcW w:w="3709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AMDRyzem1200GE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 nuclee</w:t>
            </w:r>
          </w:p>
        </w:tc>
        <w:tc>
          <w:tcPr>
            <w:tcW w:w="3709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Memorie operativă</w:t>
            </w:r>
          </w:p>
        </w:tc>
        <w:tc>
          <w:tcPr>
            <w:tcW w:w="3709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2x4GB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SSD</w:t>
            </w:r>
          </w:p>
        </w:tc>
        <w:tc>
          <w:tcPr>
            <w:tcW w:w="3709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Kingston A400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Porturi conectivitate</w:t>
            </w:r>
          </w:p>
        </w:tc>
        <w:tc>
          <w:tcPr>
            <w:tcW w:w="3709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Gigabyte B450M,VGA,DVI 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3709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Boxe</w:t>
            </w:r>
          </w:p>
        </w:tc>
        <w:tc>
          <w:tcPr>
            <w:tcW w:w="3709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Da 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Tastatura </w:t>
            </w:r>
          </w:p>
        </w:tc>
        <w:tc>
          <w:tcPr>
            <w:tcW w:w="3709" w:type="dxa"/>
          </w:tcPr>
          <w:p w:rsidR="00331308" w:rsidRPr="00EF7D3D" w:rsidRDefault="00331308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7D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Mause</w:t>
            </w:r>
          </w:p>
        </w:tc>
        <w:tc>
          <w:tcPr>
            <w:tcW w:w="3709" w:type="dxa"/>
          </w:tcPr>
          <w:p w:rsidR="00331308" w:rsidRPr="00EF7D3D" w:rsidRDefault="00331308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7D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</w:t>
            </w:r>
          </w:p>
        </w:tc>
      </w:tr>
      <w:tr w:rsidR="00331308" w:rsidRPr="0015605C" w:rsidTr="0043798C">
        <w:tc>
          <w:tcPr>
            <w:tcW w:w="2900" w:type="dxa"/>
            <w:vMerge/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Termen de garanţie</w:t>
            </w:r>
          </w:p>
        </w:tc>
        <w:tc>
          <w:tcPr>
            <w:tcW w:w="3709" w:type="dxa"/>
          </w:tcPr>
          <w:p w:rsidR="00331308" w:rsidRPr="00EF7D3D" w:rsidRDefault="00A8345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Minim 2 ani</w:t>
            </w:r>
          </w:p>
        </w:tc>
      </w:tr>
      <w:tr w:rsidR="00331308" w:rsidRPr="0015605C" w:rsidTr="0043798C">
        <w:tc>
          <w:tcPr>
            <w:tcW w:w="2900" w:type="dxa"/>
            <w:vMerge/>
            <w:tcBorders>
              <w:bottom w:val="single" w:sz="36" w:space="0" w:color="auto"/>
            </w:tcBorders>
          </w:tcPr>
          <w:p w:rsidR="00331308" w:rsidRPr="00EF7D3D" w:rsidRDefault="00331308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bottom w:val="single" w:sz="36" w:space="0" w:color="auto"/>
            </w:tcBorders>
          </w:tcPr>
          <w:p w:rsidR="00331308" w:rsidRPr="00EF7D3D" w:rsidRDefault="00331308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36" w:space="0" w:color="auto"/>
            </w:tcBorders>
          </w:tcPr>
          <w:p w:rsidR="00331308" w:rsidRPr="00EF7D3D" w:rsidRDefault="00331308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A2" w:rsidRPr="0015605C" w:rsidTr="0043798C">
        <w:tc>
          <w:tcPr>
            <w:tcW w:w="2900" w:type="dxa"/>
            <w:vMerge w:val="restart"/>
          </w:tcPr>
          <w:p w:rsidR="008710A2" w:rsidRPr="00412B82" w:rsidRDefault="00412B82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82">
              <w:rPr>
                <w:rFonts w:ascii="Times New Roman" w:hAnsi="Times New Roman" w:cs="Times New Roman"/>
                <w:b/>
                <w:sz w:val="24"/>
                <w:szCs w:val="24"/>
              </w:rPr>
              <w:t>Printer Color</w:t>
            </w:r>
          </w:p>
        </w:tc>
        <w:tc>
          <w:tcPr>
            <w:tcW w:w="2962" w:type="dxa"/>
          </w:tcPr>
          <w:p w:rsidR="008710A2" w:rsidRPr="00EF7D3D" w:rsidRDefault="00412B82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Format hîrtie</w:t>
            </w:r>
          </w:p>
        </w:tc>
        <w:tc>
          <w:tcPr>
            <w:tcW w:w="3709" w:type="dxa"/>
          </w:tcPr>
          <w:p w:rsidR="008710A2" w:rsidRPr="009F4C5A" w:rsidRDefault="00412B82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A4,A5,A6,10x15 cm</w:t>
            </w:r>
          </w:p>
        </w:tc>
      </w:tr>
      <w:tr w:rsidR="008710A2" w:rsidRPr="0015605C" w:rsidTr="0043798C">
        <w:tc>
          <w:tcPr>
            <w:tcW w:w="2900" w:type="dxa"/>
            <w:vMerge/>
          </w:tcPr>
          <w:p w:rsidR="008710A2" w:rsidRPr="00EF7D3D" w:rsidRDefault="008710A2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10A2" w:rsidRPr="00EF7D3D" w:rsidRDefault="00412B82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Imprimare</w:t>
            </w:r>
          </w:p>
        </w:tc>
        <w:tc>
          <w:tcPr>
            <w:tcW w:w="3709" w:type="dxa"/>
          </w:tcPr>
          <w:p w:rsidR="008710A2" w:rsidRPr="009F4C5A" w:rsidRDefault="00412B82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</w:tr>
      <w:tr w:rsidR="008710A2" w:rsidRPr="0015605C" w:rsidTr="0043798C">
        <w:tc>
          <w:tcPr>
            <w:tcW w:w="2900" w:type="dxa"/>
            <w:vMerge/>
          </w:tcPr>
          <w:p w:rsidR="008710A2" w:rsidRPr="00EF7D3D" w:rsidRDefault="008710A2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10A2" w:rsidRPr="009F4C5A" w:rsidRDefault="00412B82" w:rsidP="004379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 imprimare</w:t>
            </w:r>
          </w:p>
        </w:tc>
        <w:tc>
          <w:tcPr>
            <w:tcW w:w="3709" w:type="dxa"/>
          </w:tcPr>
          <w:p w:rsidR="008710A2" w:rsidRPr="009F4C5A" w:rsidRDefault="00412B82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Inkjet</w:t>
            </w:r>
          </w:p>
        </w:tc>
      </w:tr>
      <w:tr w:rsidR="00012CC9" w:rsidRPr="0015605C" w:rsidTr="0043798C">
        <w:tc>
          <w:tcPr>
            <w:tcW w:w="2900" w:type="dxa"/>
            <w:vMerge/>
          </w:tcPr>
          <w:p w:rsidR="00012CC9" w:rsidRPr="00EF7D3D" w:rsidRDefault="00012CC9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12CC9" w:rsidRPr="00012CC9" w:rsidRDefault="00412B82" w:rsidP="004379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Rezoluţia(DPI)</w:t>
            </w:r>
          </w:p>
        </w:tc>
        <w:tc>
          <w:tcPr>
            <w:tcW w:w="3709" w:type="dxa"/>
          </w:tcPr>
          <w:p w:rsidR="00012CC9" w:rsidRPr="009F4C5A" w:rsidRDefault="00412B82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5760x1440</w:t>
            </w:r>
          </w:p>
        </w:tc>
      </w:tr>
      <w:tr w:rsidR="008710A2" w:rsidRPr="0015605C" w:rsidTr="0043798C">
        <w:tc>
          <w:tcPr>
            <w:tcW w:w="2900" w:type="dxa"/>
            <w:vMerge/>
          </w:tcPr>
          <w:p w:rsidR="008710A2" w:rsidRPr="00EF7D3D" w:rsidRDefault="008710A2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10A2" w:rsidRPr="00EF7D3D" w:rsidRDefault="00412B82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Viteza printer alb-negru(A4)</w:t>
            </w:r>
          </w:p>
        </w:tc>
        <w:tc>
          <w:tcPr>
            <w:tcW w:w="3709" w:type="dxa"/>
          </w:tcPr>
          <w:p w:rsidR="008710A2" w:rsidRPr="009F4C5A" w:rsidRDefault="00412B82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pages min</w:t>
            </w:r>
          </w:p>
        </w:tc>
      </w:tr>
      <w:tr w:rsidR="008710A2" w:rsidRPr="0015605C" w:rsidTr="0043798C">
        <w:tc>
          <w:tcPr>
            <w:tcW w:w="2900" w:type="dxa"/>
            <w:vMerge/>
          </w:tcPr>
          <w:p w:rsidR="008710A2" w:rsidRPr="00EF7D3D" w:rsidRDefault="008710A2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10A2" w:rsidRPr="00EF7D3D" w:rsidRDefault="00412B82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Viteza printer color(A4)</w:t>
            </w:r>
          </w:p>
        </w:tc>
        <w:tc>
          <w:tcPr>
            <w:tcW w:w="3709" w:type="dxa"/>
          </w:tcPr>
          <w:p w:rsidR="008710A2" w:rsidRPr="009F4C5A" w:rsidRDefault="00412B82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pages min</w:t>
            </w:r>
          </w:p>
        </w:tc>
      </w:tr>
      <w:tr w:rsidR="008710A2" w:rsidRPr="0015605C" w:rsidTr="0043798C">
        <w:tc>
          <w:tcPr>
            <w:tcW w:w="2900" w:type="dxa"/>
            <w:vMerge/>
          </w:tcPr>
          <w:p w:rsidR="008710A2" w:rsidRPr="00EF7D3D" w:rsidRDefault="008710A2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10A2" w:rsidRPr="00EF7D3D" w:rsidRDefault="00412B82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Număr de culori </w:t>
            </w:r>
          </w:p>
        </w:tc>
        <w:tc>
          <w:tcPr>
            <w:tcW w:w="3709" w:type="dxa"/>
          </w:tcPr>
          <w:p w:rsidR="008710A2" w:rsidRDefault="00412B82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6(Magenta/Yellow/Cyan/Blak/Light</w:t>
            </w:r>
          </w:p>
          <w:p w:rsidR="00412B82" w:rsidRPr="009F4C5A" w:rsidRDefault="00412B82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Cyan/Light magenta)</w:t>
            </w:r>
          </w:p>
        </w:tc>
      </w:tr>
      <w:tr w:rsidR="008710A2" w:rsidRPr="0015605C" w:rsidTr="0043798C">
        <w:tc>
          <w:tcPr>
            <w:tcW w:w="2900" w:type="dxa"/>
            <w:vMerge/>
          </w:tcPr>
          <w:p w:rsidR="008710A2" w:rsidRPr="00EF7D3D" w:rsidRDefault="008710A2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10A2" w:rsidRPr="00EF7D3D" w:rsidRDefault="0043798C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Cartuşe </w:t>
            </w:r>
          </w:p>
        </w:tc>
        <w:tc>
          <w:tcPr>
            <w:tcW w:w="3709" w:type="dxa"/>
          </w:tcPr>
          <w:p w:rsidR="008710A2" w:rsidRPr="009F4C5A" w:rsidRDefault="0043798C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C:13T67324A</w:t>
            </w:r>
          </w:p>
        </w:tc>
      </w:tr>
      <w:tr w:rsidR="008710A2" w:rsidRPr="0015605C" w:rsidTr="0043798C">
        <w:tc>
          <w:tcPr>
            <w:tcW w:w="2900" w:type="dxa"/>
            <w:vMerge/>
          </w:tcPr>
          <w:p w:rsidR="008710A2" w:rsidRPr="00EF7D3D" w:rsidRDefault="008710A2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10A2" w:rsidRPr="00EF7D3D" w:rsidRDefault="008710A2" w:rsidP="0043798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09" w:type="dxa"/>
          </w:tcPr>
          <w:p w:rsidR="008710A2" w:rsidRPr="009F4C5A" w:rsidRDefault="0043798C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C:13T67344A</w:t>
            </w:r>
          </w:p>
        </w:tc>
      </w:tr>
      <w:tr w:rsidR="0043798C" w:rsidRPr="0015605C" w:rsidTr="0043798C">
        <w:trPr>
          <w:trHeight w:val="326"/>
        </w:trPr>
        <w:tc>
          <w:tcPr>
            <w:tcW w:w="2900" w:type="dxa"/>
            <w:vMerge/>
          </w:tcPr>
          <w:p w:rsidR="0043798C" w:rsidRPr="00EF7D3D" w:rsidRDefault="0043798C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3798C" w:rsidRPr="00AB0534" w:rsidRDefault="0043798C" w:rsidP="004379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9" w:type="dxa"/>
          </w:tcPr>
          <w:p w:rsidR="0043798C" w:rsidRPr="009F4C5A" w:rsidRDefault="0043798C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C:13T67334A</w:t>
            </w:r>
          </w:p>
        </w:tc>
      </w:tr>
      <w:tr w:rsidR="0043798C" w:rsidRPr="0015605C" w:rsidTr="0043798C">
        <w:trPr>
          <w:trHeight w:val="435"/>
        </w:trPr>
        <w:tc>
          <w:tcPr>
            <w:tcW w:w="2900" w:type="dxa"/>
            <w:vMerge/>
          </w:tcPr>
          <w:p w:rsidR="0043798C" w:rsidRPr="00EF7D3D" w:rsidRDefault="0043798C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43798C" w:rsidRPr="00AB0534" w:rsidRDefault="0043798C" w:rsidP="004379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9" w:type="dxa"/>
          </w:tcPr>
          <w:p w:rsidR="0043798C" w:rsidRDefault="0043798C" w:rsidP="004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C:13T67364A</w:t>
            </w:r>
          </w:p>
        </w:tc>
      </w:tr>
      <w:tr w:rsidR="0043798C" w:rsidRPr="0015605C" w:rsidTr="0043798C">
        <w:trPr>
          <w:trHeight w:val="276"/>
        </w:trPr>
        <w:tc>
          <w:tcPr>
            <w:tcW w:w="2900" w:type="dxa"/>
            <w:vMerge/>
          </w:tcPr>
          <w:p w:rsidR="0043798C" w:rsidRPr="00EF7D3D" w:rsidRDefault="0043798C" w:rsidP="0043798C">
            <w:pPr>
              <w:tabs>
                <w:tab w:val="left" w:pos="15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43798C" w:rsidRPr="0015605C" w:rsidRDefault="0043798C">
            <w:r>
              <w:t>Termen de garanţie</w:t>
            </w:r>
          </w:p>
        </w:tc>
        <w:tc>
          <w:tcPr>
            <w:tcW w:w="3709" w:type="dxa"/>
            <w:shd w:val="clear" w:color="auto" w:fill="auto"/>
          </w:tcPr>
          <w:p w:rsidR="0043798C" w:rsidRPr="0015605C" w:rsidRDefault="0043798C">
            <w:r>
              <w:t>Minim 2 ani</w:t>
            </w:r>
          </w:p>
        </w:tc>
      </w:tr>
    </w:tbl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Caracteristicile tehnice si funcționale specificate în Caietul de Sarcini sunt minimale si obligatorii. </w:t>
      </w:r>
      <w:r w:rsidRPr="0015605C">
        <w:rPr>
          <w:rFonts w:ascii="Times New Roman" w:hAnsi="Times New Roman" w:cs="Times New Roman"/>
          <w:sz w:val="24"/>
          <w:szCs w:val="24"/>
        </w:rPr>
        <w:t xml:space="preserve">Ofertanții pot oferi produse cu caracteristici tehnice si funcționale superioare celor specificate. </w:t>
      </w: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Vă rugăm să detaliați în oferta dumneavoastră </w:t>
      </w:r>
      <w:r w:rsidR="00412B3D">
        <w:rPr>
          <w:rFonts w:ascii="Times New Roman" w:hAnsi="Times New Roman" w:cs="Times New Roman"/>
          <w:sz w:val="24"/>
          <w:szCs w:val="24"/>
        </w:rPr>
        <w:t>toate caracteristicile tehnice ș</w:t>
      </w:r>
      <w:r w:rsidRPr="0015605C">
        <w:rPr>
          <w:rFonts w:ascii="Times New Roman" w:hAnsi="Times New Roman" w:cs="Times New Roman"/>
          <w:sz w:val="24"/>
          <w:szCs w:val="24"/>
        </w:rPr>
        <w:t xml:space="preserve">i funcționale care sunt relevante pentru performantele produsului ofertat. </w:t>
      </w: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>Furnizorul va pune la dispoziția achizitorului, instrucțiuni de utilizare a echipamentelor, astfel încât să fie respectate condițiile de securitate şi sănătate în muncă.</w:t>
      </w: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b/>
          <w:bCs/>
          <w:sz w:val="24"/>
          <w:szCs w:val="24"/>
        </w:rPr>
        <w:t xml:space="preserve">3.2. Livrare </w:t>
      </w: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a) Produsul va fi livrat in condițiile menţionate în contractul de achiziţie. </w:t>
      </w: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b) Produsul oferit trebuie să fie conform cu detaliile tehnice specificate în anexele tehnice. </w:t>
      </w: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c) Documente care însoțesc livrarea: certificate de calitate, declarație de conformitate, certificat de garanție. </w:t>
      </w: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d) Livrarea produsului către Beneficiar, se face la sediul </w:t>
      </w:r>
      <w:r w:rsidR="0015605C" w:rsidRPr="0015605C">
        <w:rPr>
          <w:rFonts w:ascii="Times New Roman" w:hAnsi="Times New Roman" w:cs="Times New Roman"/>
          <w:sz w:val="24"/>
          <w:szCs w:val="24"/>
        </w:rPr>
        <w:t xml:space="preserve">furnizorului, </w:t>
      </w:r>
      <w:r w:rsidRPr="0015605C">
        <w:rPr>
          <w:rFonts w:ascii="Times New Roman" w:hAnsi="Times New Roman" w:cs="Times New Roman"/>
          <w:sz w:val="24"/>
          <w:szCs w:val="24"/>
        </w:rPr>
        <w:t xml:space="preserve">în conformitate cu instrucțiunile producătorului si nu necesită cheltuieli suplimentare pentru Beneficiar. </w:t>
      </w:r>
    </w:p>
    <w:p w:rsidR="00412B3D" w:rsidRDefault="00412B3D" w:rsidP="00156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605C" w:rsidRPr="0015605C" w:rsidRDefault="0015605C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b/>
          <w:bCs/>
          <w:sz w:val="24"/>
          <w:szCs w:val="24"/>
        </w:rPr>
        <w:t xml:space="preserve">3.3. Garanție si service după vânzare </w:t>
      </w:r>
    </w:p>
    <w:p w:rsidR="0015605C" w:rsidRPr="0015605C" w:rsidRDefault="0015605C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>a) Furnizorul va trebui să asigure garanția de bună funcționare, calitatea si performantele bunurilor pe</w:t>
      </w:r>
      <w:r w:rsidR="009A56CD">
        <w:rPr>
          <w:rFonts w:ascii="Times New Roman" w:hAnsi="Times New Roman" w:cs="Times New Roman"/>
          <w:sz w:val="24"/>
          <w:szCs w:val="24"/>
        </w:rPr>
        <w:t>ntru o perioadă de minim 2 ani</w:t>
      </w:r>
      <w:r w:rsidRPr="0015605C">
        <w:rPr>
          <w:rFonts w:ascii="Times New Roman" w:hAnsi="Times New Roman" w:cs="Times New Roman"/>
          <w:sz w:val="24"/>
          <w:szCs w:val="24"/>
        </w:rPr>
        <w:t xml:space="preserve">, ea fiind specificata pentru fiecare tip de componenta în parte. </w:t>
      </w:r>
    </w:p>
    <w:p w:rsidR="0015605C" w:rsidRPr="0015605C" w:rsidRDefault="0015605C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b) Perioada de garanție începe din momentul recepției finale, respectiv livrarea produsului. . </w:t>
      </w:r>
    </w:p>
    <w:p w:rsidR="0015605C" w:rsidRPr="0015605C" w:rsidRDefault="0015605C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d) În perioada de garanție toate piesele de schimb si intervențiile autorizate vor fi gratuite. Piese de schimb sunt toate componentele echipamentelor, in afara de consumabilele consemnate in Cartea Tehnica. </w:t>
      </w:r>
    </w:p>
    <w:p w:rsidR="0015605C" w:rsidRPr="0015605C" w:rsidRDefault="0015605C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 xml:space="preserve">e) Furnizorul va trebui să prezinte modul în care îsi propune să rezolve aceste obligații pentru perioada de garanție. </w:t>
      </w:r>
    </w:p>
    <w:p w:rsidR="0015605C" w:rsidRDefault="0015605C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5C">
        <w:rPr>
          <w:rFonts w:ascii="Times New Roman" w:hAnsi="Times New Roman" w:cs="Times New Roman"/>
          <w:sz w:val="24"/>
          <w:szCs w:val="24"/>
        </w:rPr>
        <w:t>q) Defecțiunile înregistrate vor fi sesizate la reprezentanța Furnizorului.</w:t>
      </w:r>
    </w:p>
    <w:p w:rsidR="00AE669A" w:rsidRPr="0015605C" w:rsidRDefault="00AE669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3D" w:rsidRDefault="00412B3D" w:rsidP="0015605C">
      <w:pPr>
        <w:pStyle w:val="Default"/>
        <w:rPr>
          <w:b/>
          <w:bCs/>
        </w:rPr>
      </w:pPr>
    </w:p>
    <w:p w:rsidR="00AE669A" w:rsidRDefault="00AE669A" w:rsidP="0015605C">
      <w:pPr>
        <w:pStyle w:val="Default"/>
        <w:rPr>
          <w:b/>
          <w:bCs/>
        </w:rPr>
      </w:pPr>
    </w:p>
    <w:p w:rsidR="0015605C" w:rsidRPr="0015605C" w:rsidRDefault="0015605C" w:rsidP="0015605C">
      <w:pPr>
        <w:pStyle w:val="Default"/>
      </w:pPr>
      <w:r w:rsidRPr="0015605C">
        <w:rPr>
          <w:b/>
          <w:bCs/>
        </w:rPr>
        <w:t xml:space="preserve">4. PERIOADA DE VALABILITATE A OFERTEI </w:t>
      </w:r>
    </w:p>
    <w:p w:rsidR="0015605C" w:rsidRPr="0015605C" w:rsidRDefault="0015605C" w:rsidP="0015605C">
      <w:pPr>
        <w:pStyle w:val="Default"/>
      </w:pPr>
      <w:r w:rsidRPr="0015605C">
        <w:t>• Se solicită o perioad</w:t>
      </w:r>
      <w:r w:rsidR="00160BB4">
        <w:t>ă de valabilitate a ofertei de 7</w:t>
      </w:r>
      <w:r w:rsidRPr="0015605C">
        <w:t xml:space="preserve"> de zile de la data depunerii ofertei. </w:t>
      </w:r>
    </w:p>
    <w:p w:rsidR="0015605C" w:rsidRPr="0015605C" w:rsidRDefault="0015605C" w:rsidP="0015605C">
      <w:pPr>
        <w:pStyle w:val="Default"/>
      </w:pPr>
    </w:p>
    <w:p w:rsidR="0015605C" w:rsidRPr="0015605C" w:rsidRDefault="0015605C" w:rsidP="0015605C">
      <w:pPr>
        <w:pStyle w:val="Default"/>
      </w:pPr>
      <w:r w:rsidRPr="0015605C">
        <w:rPr>
          <w:b/>
          <w:bCs/>
        </w:rPr>
        <w:t xml:space="preserve">5. MODALITĂŢI DE PLATĂ </w:t>
      </w:r>
    </w:p>
    <w:p w:rsidR="0015605C" w:rsidRPr="0015605C" w:rsidRDefault="0015605C" w:rsidP="0015605C">
      <w:pPr>
        <w:pStyle w:val="Default"/>
      </w:pPr>
      <w:r w:rsidRPr="0015605C">
        <w:t>• Plata produselor se va efectua in conformitate cu contractul încheia</w:t>
      </w:r>
      <w:r w:rsidR="002B004A">
        <w:t>t intre Beneficiar si Furnizor, prin transfer bancar.</w:t>
      </w:r>
    </w:p>
    <w:p w:rsidR="0015605C" w:rsidRPr="0015605C" w:rsidRDefault="0015605C" w:rsidP="0015605C">
      <w:pPr>
        <w:pStyle w:val="Default"/>
      </w:pPr>
    </w:p>
    <w:p w:rsidR="0015605C" w:rsidRPr="0015605C" w:rsidRDefault="0015605C" w:rsidP="0015605C">
      <w:pPr>
        <w:pStyle w:val="Default"/>
      </w:pPr>
      <w:r w:rsidRPr="0015605C">
        <w:rPr>
          <w:b/>
          <w:bCs/>
        </w:rPr>
        <w:t xml:space="preserve">6. PRECIZĂRI FINALE </w:t>
      </w:r>
    </w:p>
    <w:p w:rsidR="00023C11" w:rsidRDefault="00EF7D3D" w:rsidP="00023C11">
      <w:pPr>
        <w:pStyle w:val="Default"/>
        <w:spacing w:line="480" w:lineRule="auto"/>
      </w:pPr>
      <w:r w:rsidRPr="0015605C">
        <w:t>•</w:t>
      </w:r>
      <w:r>
        <w:t xml:space="preserve"> ofertele vor fi transmise directorului de proiect –</w:t>
      </w:r>
    </w:p>
    <w:p w:rsidR="00023C11" w:rsidRDefault="00160BB4" w:rsidP="00023C11">
      <w:pPr>
        <w:pStyle w:val="Default"/>
        <w:spacing w:line="480" w:lineRule="auto"/>
        <w:rPr>
          <w:b/>
        </w:rPr>
      </w:pPr>
      <w:r>
        <w:rPr>
          <w:b/>
        </w:rPr>
        <w:t xml:space="preserve">Maznic </w:t>
      </w:r>
      <w:r w:rsidR="00EF7D3D" w:rsidRPr="00EF7D3D">
        <w:rPr>
          <w:b/>
        </w:rPr>
        <w:t xml:space="preserve">Ana </w:t>
      </w:r>
      <w:hyperlink r:id="rId7" w:history="1">
        <w:r w:rsidR="0029201F" w:rsidRPr="001E2AEC">
          <w:rPr>
            <w:rStyle w:val="ab"/>
            <w:b/>
          </w:rPr>
          <w:t>ana.maznik@mail.ru</w:t>
        </w:r>
      </w:hyperlink>
    </w:p>
    <w:p w:rsidR="00023C11" w:rsidRDefault="00023C11" w:rsidP="00023C11">
      <w:pPr>
        <w:pStyle w:val="Default"/>
        <w:spacing w:line="480" w:lineRule="auto"/>
        <w:rPr>
          <w:b/>
        </w:rPr>
      </w:pPr>
      <w:r w:rsidRPr="00023C11">
        <w:rPr>
          <w:b/>
        </w:rPr>
        <w:t>Coordonat</w:t>
      </w:r>
      <w:r w:rsidR="0029201F">
        <w:rPr>
          <w:b/>
        </w:rPr>
        <w:t>or de proiect, AO,,Speranţa,,</w:t>
      </w:r>
    </w:p>
    <w:p w:rsidR="00023C11" w:rsidRPr="00023C11" w:rsidRDefault="0029201F" w:rsidP="00023C11">
      <w:pPr>
        <w:pStyle w:val="Default"/>
        <w:spacing w:line="480" w:lineRule="auto"/>
        <w:rPr>
          <w:b/>
        </w:rPr>
      </w:pPr>
      <w:r>
        <w:rPr>
          <w:b/>
        </w:rPr>
        <w:lastRenderedPageBreak/>
        <w:t>Tel.069668474</w:t>
      </w:r>
    </w:p>
    <w:p w:rsidR="00EF7D3D" w:rsidRPr="0015605C" w:rsidRDefault="00023C11" w:rsidP="00023C11">
      <w:pPr>
        <w:pStyle w:val="Default"/>
      </w:pPr>
      <w:r w:rsidRPr="00023C11">
        <w:rPr>
          <w:b/>
        </w:rPr>
        <w:t>Fb: An</w:t>
      </w:r>
      <w:r w:rsidR="0029201F">
        <w:rPr>
          <w:b/>
        </w:rPr>
        <w:t xml:space="preserve">a Maznic </w:t>
      </w:r>
    </w:p>
    <w:p w:rsidR="0015605C" w:rsidRPr="0015605C" w:rsidRDefault="0015605C" w:rsidP="0015605C">
      <w:pPr>
        <w:pStyle w:val="Default"/>
      </w:pPr>
      <w:r w:rsidRPr="0015605C">
        <w:t xml:space="preserve">• Operatorul economic declarat câștigător după finalizarea evaluării, va încheia contractul de furnizare cu Beneficiarul. Oferta pe baza căreia operatorul economic a fost declarat câștigător devine parte integrantă a contractului de furnizare. </w:t>
      </w:r>
    </w:p>
    <w:p w:rsidR="0015605C" w:rsidRPr="0015605C" w:rsidRDefault="0015605C" w:rsidP="0015605C">
      <w:pPr>
        <w:pStyle w:val="Default"/>
      </w:pPr>
      <w:r w:rsidRPr="0015605C">
        <w:t xml:space="preserve">• Organizatorul își rezerva dreptul de a accepta sau de a respinge orice oferta sau pe toate ofertele. </w:t>
      </w:r>
    </w:p>
    <w:p w:rsidR="0015605C" w:rsidRDefault="0015605C" w:rsidP="0015605C">
      <w:pPr>
        <w:pStyle w:val="Default"/>
        <w:rPr>
          <w:b/>
          <w:bCs/>
        </w:rPr>
      </w:pPr>
      <w:r w:rsidRPr="0015605C">
        <w:t xml:space="preserve">• </w:t>
      </w:r>
      <w:r w:rsidRPr="0015605C">
        <w:rPr>
          <w:b/>
          <w:bCs/>
        </w:rPr>
        <w:t xml:space="preserve">Respectarea instrucțiunilor din Caietul de Sarcini este obligatorie pentru toți operatorii economici care au depus oferta. </w:t>
      </w:r>
    </w:p>
    <w:p w:rsidR="00746A7A" w:rsidRPr="0015605C" w:rsidRDefault="00746A7A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5C" w:rsidRPr="0015605C" w:rsidRDefault="0015605C" w:rsidP="0015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05C" w:rsidRPr="0015605C" w:rsidSect="00CD6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0" w:right="850" w:bottom="1134" w:left="1701" w:header="426" w:footer="1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0B" w:rsidRDefault="0039190B" w:rsidP="00CD6A59">
      <w:pPr>
        <w:spacing w:after="0" w:line="240" w:lineRule="auto"/>
      </w:pPr>
      <w:r>
        <w:separator/>
      </w:r>
    </w:p>
  </w:endnote>
  <w:endnote w:type="continuationSeparator" w:id="1">
    <w:p w:rsidR="0039190B" w:rsidRDefault="0039190B" w:rsidP="00CD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B7" w:rsidRDefault="001B3F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59" w:rsidRDefault="00CD6A59" w:rsidP="00CD6A59">
    <w:pPr>
      <w:pStyle w:val="a7"/>
      <w:tabs>
        <w:tab w:val="clear" w:pos="9355"/>
      </w:tabs>
    </w:pPr>
    <w:r w:rsidRPr="00874B8E"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50800</wp:posOffset>
          </wp:positionH>
          <wp:positionV relativeFrom="paragraph">
            <wp:posOffset>76558</wp:posOffset>
          </wp:positionV>
          <wp:extent cx="952500" cy="680085"/>
          <wp:effectExtent l="19050" t="0" r="0" b="0"/>
          <wp:wrapNone/>
          <wp:docPr id="3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D6A59" w:rsidRDefault="00CD6A59">
    <w:pPr>
      <w:pStyle w:val="a7"/>
    </w:pPr>
    <w:r w:rsidRPr="00874B8E"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5075555</wp:posOffset>
          </wp:positionH>
          <wp:positionV relativeFrom="paragraph">
            <wp:posOffset>8255</wp:posOffset>
          </wp:positionV>
          <wp:extent cx="885825" cy="577850"/>
          <wp:effectExtent l="0" t="0" r="9525" b="0"/>
          <wp:wrapNone/>
          <wp:docPr id="3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1476375" cy="452120"/>
          <wp:effectExtent l="0" t="0" r="0" b="5080"/>
          <wp:wrapNone/>
          <wp:docPr id="326" name="Picture 326" descr="C:\Users\ANAGON~1\AppData\Local\Temp\batD19E.tmp\APSC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GON~1\AppData\Local\Temp\batD19E.tmp\APSCF_LOGO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4042" w:rsidRPr="00B64042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2.4pt;margin-top:45.9pt;width:568.55pt;height:47.85pt;z-index:2516674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" stroked="f">
          <v:textbox>
            <w:txbxContent>
              <w:p w:rsidR="00CD6A59" w:rsidRPr="00874B8E" w:rsidRDefault="00CD6A59" w:rsidP="00CD6A59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 w:rsidRPr="00D25030">
                  <w:rPr>
                    <w:sz w:val="16"/>
                    <w:szCs w:val="16"/>
                  </w:rPr>
                  <w:t>roiect</w:t>
                </w:r>
                <w:r>
                  <w:rPr>
                    <w:sz w:val="16"/>
                    <w:szCs w:val="16"/>
                  </w:rPr>
                  <w:t xml:space="preserve">ul </w:t>
                </w:r>
                <w:r w:rsidR="0088261E">
                  <w:rPr>
                    <w:color w:val="C00000"/>
                    <w:sz w:val="16"/>
                    <w:szCs w:val="16"/>
                  </w:rPr>
                  <w:t xml:space="preserve">”Diversificarea serviciilor socio-educaţionale ,sportive şi culturale pentru copii şi tineri din grupurile vulnerabile sau/şi în risc de vulnerabilitate </w:t>
                </w:r>
                <w:r>
                  <w:rPr>
                    <w:color w:val="C00000"/>
                    <w:sz w:val="16"/>
                    <w:szCs w:val="16"/>
                  </w:rPr>
                  <w:t xml:space="preserve">” </w:t>
                </w:r>
                <w:r w:rsidRPr="00D25030">
                  <w:rPr>
                    <w:sz w:val="16"/>
                    <w:szCs w:val="16"/>
                  </w:rPr>
                  <w:t xml:space="preserve">este implementat de </w:t>
                </w:r>
                <w:r w:rsidR="0088261E">
                  <w:rPr>
                    <w:color w:val="C00000"/>
                    <w:sz w:val="16"/>
                    <w:szCs w:val="16"/>
                  </w:rPr>
                  <w:t>AO ,,Speranţa,,</w:t>
                </w:r>
                <w:r w:rsidRPr="009B0E6C">
                  <w:rPr>
                    <w:color w:val="C00000"/>
                    <w:sz w:val="16"/>
                    <w:szCs w:val="16"/>
                  </w:rPr>
                  <w:t xml:space="preserve"> </w:t>
                </w:r>
                <w:r w:rsidRPr="00D25030">
                  <w:rPr>
                    <w:sz w:val="16"/>
                    <w:szCs w:val="16"/>
                  </w:rPr>
                  <w:t>din resursele acordate de Uniunea Europeană în cadrul Proiectului „Servicii sociale mai bune printr-un parteneriat durabil dintre societate civilă și guvern” co-finanțat și implementat de Fundația Soros-Moldova înparteneriat cu Asociația Keystone Moldova, Alianța ONG-urilor active în domeniul Protecției Sociale a Copilului și Familiei și Alianța Organizațiilor pentruPersoane cu Dizabilităț</w:t>
                </w:r>
                <w:r>
                  <w:rPr>
                    <w:sz w:val="16"/>
                    <w:szCs w:val="16"/>
                  </w:rPr>
                  <w:t>i.</w:t>
                </w:r>
              </w:p>
              <w:p w:rsidR="00CD6A59" w:rsidRPr="00874B8E" w:rsidRDefault="00CD6A59" w:rsidP="00CD6A59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B7" w:rsidRDefault="001B3F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0B" w:rsidRDefault="0039190B" w:rsidP="00CD6A59">
      <w:pPr>
        <w:spacing w:after="0" w:line="240" w:lineRule="auto"/>
      </w:pPr>
      <w:r>
        <w:separator/>
      </w:r>
    </w:p>
  </w:footnote>
  <w:footnote w:type="continuationSeparator" w:id="1">
    <w:p w:rsidR="0039190B" w:rsidRDefault="0039190B" w:rsidP="00CD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B7" w:rsidRDefault="001B3F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59" w:rsidRPr="001B3FB7" w:rsidRDefault="00B64042" w:rsidP="00CD6A59">
    <w:pPr>
      <w:pStyle w:val="a5"/>
      <w:tabs>
        <w:tab w:val="clear" w:pos="4677"/>
        <w:tab w:val="clear" w:pos="9355"/>
        <w:tab w:val="center" w:pos="4702"/>
      </w:tabs>
      <w:rPr>
        <w:b/>
        <w:noProof/>
        <w:lang w:eastAsia="ru-RU"/>
      </w:rPr>
    </w:pPr>
    <w:r w:rsidRPr="00B64042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77.3pt;margin-top:63pt;width:118.8pt;height:39.6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" stroked="f">
          <v:textbox>
            <w:txbxContent>
              <w:p w:rsidR="00CD6A59" w:rsidRDefault="00CD6A59" w:rsidP="00CD6A59">
                <w:pPr>
                  <w:spacing w:after="0"/>
                  <w:rPr>
                    <w:b/>
                    <w:sz w:val="18"/>
                  </w:rPr>
                </w:pPr>
                <w:r w:rsidRPr="00874B8E">
                  <w:rPr>
                    <w:b/>
                    <w:sz w:val="18"/>
                  </w:rPr>
                  <w:t xml:space="preserve">Co-finanțat și </w:t>
                </w:r>
                <w:r>
                  <w:rPr>
                    <w:b/>
                    <w:sz w:val="18"/>
                  </w:rPr>
                  <w:t xml:space="preserve">gestionat de </w:t>
                </w:r>
              </w:p>
              <w:p w:rsidR="00CD6A59" w:rsidRPr="00874B8E" w:rsidRDefault="00CD6A59" w:rsidP="00CD6A59">
                <w:pPr>
                  <w:spacing w:after="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Fundația Soros-Moldova</w:t>
                </w:r>
              </w:p>
            </w:txbxContent>
          </v:textbox>
          <w10:wrap type="square"/>
        </v:shape>
      </w:pict>
    </w:r>
    <w:r w:rsidR="00CD6A59" w:rsidRPr="00874B8E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-213995</wp:posOffset>
          </wp:positionV>
          <wp:extent cx="952500" cy="952500"/>
          <wp:effectExtent l="0" t="0" r="0" b="0"/>
          <wp:wrapNone/>
          <wp:docPr id="3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A59" w:rsidRPr="00874B8E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-171450</wp:posOffset>
          </wp:positionV>
          <wp:extent cx="1285875" cy="857250"/>
          <wp:effectExtent l="0" t="0" r="9525" b="0"/>
          <wp:wrapNone/>
          <wp:docPr id="3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154" cy="859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4042">
      <w:rPr>
        <w:noProof/>
        <w:lang w:eastAsia="ro-RO"/>
      </w:rPr>
      <w:pict>
        <v:shape id="_x0000_s2050" type="#_x0000_t202" style="position:absolute;margin-left:-32.25pt;margin-top:66.8pt;width:162.75pt;height:21.75pt;z-index:-251655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wIg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" stroked="f">
          <v:textbox>
            <w:txbxContent>
              <w:p w:rsidR="00CD6A59" w:rsidRPr="00874B8E" w:rsidRDefault="00CD6A59" w:rsidP="00CD6A59">
                <w:pPr>
                  <w:rPr>
                    <w:b/>
                    <w:sz w:val="18"/>
                  </w:rPr>
                </w:pPr>
                <w:r w:rsidRPr="00874B8E">
                  <w:rPr>
                    <w:b/>
                    <w:sz w:val="18"/>
                  </w:rPr>
                  <w:t>Finanțat de Uniunea Europeană</w:t>
                </w:r>
              </w:p>
            </w:txbxContent>
          </v:textbox>
        </v:shape>
      </w:pict>
    </w:r>
    <w:r w:rsidR="00CD6A59">
      <w:tab/>
    </w:r>
    <w:r w:rsidR="001B3FB7">
      <w:rPr>
        <w:b/>
        <w:noProof/>
        <w:lang w:val="en-US" w:eastAsia="ru-RU"/>
      </w:rPr>
      <w:t>Asociaţia Obştească</w:t>
    </w:r>
  </w:p>
  <w:p w:rsidR="00BE6CDB" w:rsidRPr="001B3FB7" w:rsidRDefault="00BE6CDB" w:rsidP="00CD6A59">
    <w:pPr>
      <w:pStyle w:val="a5"/>
      <w:tabs>
        <w:tab w:val="clear" w:pos="4677"/>
        <w:tab w:val="clear" w:pos="9355"/>
        <w:tab w:val="center" w:pos="4702"/>
      </w:tabs>
      <w:rPr>
        <w:b/>
      </w:rPr>
    </w:pPr>
    <w:r w:rsidRPr="001B3FB7">
      <w:rPr>
        <w:b/>
        <w:noProof/>
        <w:lang w:eastAsia="ru-RU"/>
      </w:rPr>
      <w:t xml:space="preserve">                                                                                    ,,SPERANŢA,,</w:t>
    </w:r>
  </w:p>
  <w:p w:rsidR="00CD6A59" w:rsidRPr="001B3FB7" w:rsidRDefault="00CD6A59">
    <w:pPr>
      <w:pStyle w:val="a5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B7" w:rsidRDefault="001B3F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18B"/>
    <w:multiLevelType w:val="multilevel"/>
    <w:tmpl w:val="1B78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B2146"/>
    <w:multiLevelType w:val="hybridMultilevel"/>
    <w:tmpl w:val="5B52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0DA3"/>
    <w:rsid w:val="00012CC9"/>
    <w:rsid w:val="00023C11"/>
    <w:rsid w:val="0006305A"/>
    <w:rsid w:val="00095216"/>
    <w:rsid w:val="000B46A6"/>
    <w:rsid w:val="0011486F"/>
    <w:rsid w:val="00147886"/>
    <w:rsid w:val="0015605C"/>
    <w:rsid w:val="00160BB4"/>
    <w:rsid w:val="001B3FB7"/>
    <w:rsid w:val="0029201F"/>
    <w:rsid w:val="002B004A"/>
    <w:rsid w:val="00331308"/>
    <w:rsid w:val="00331A47"/>
    <w:rsid w:val="00371C7D"/>
    <w:rsid w:val="0039190B"/>
    <w:rsid w:val="00400868"/>
    <w:rsid w:val="00412B3D"/>
    <w:rsid w:val="00412B82"/>
    <w:rsid w:val="0043798C"/>
    <w:rsid w:val="004C5570"/>
    <w:rsid w:val="00532F1A"/>
    <w:rsid w:val="00597938"/>
    <w:rsid w:val="00610DA3"/>
    <w:rsid w:val="00635751"/>
    <w:rsid w:val="00746A7A"/>
    <w:rsid w:val="00777D6F"/>
    <w:rsid w:val="007A19BF"/>
    <w:rsid w:val="00814E11"/>
    <w:rsid w:val="00833284"/>
    <w:rsid w:val="00855130"/>
    <w:rsid w:val="008710A2"/>
    <w:rsid w:val="0088261E"/>
    <w:rsid w:val="009A56CD"/>
    <w:rsid w:val="009F4C5A"/>
    <w:rsid w:val="00A8345C"/>
    <w:rsid w:val="00AB0534"/>
    <w:rsid w:val="00AD33AB"/>
    <w:rsid w:val="00AE669A"/>
    <w:rsid w:val="00B64042"/>
    <w:rsid w:val="00BE6453"/>
    <w:rsid w:val="00BE6CDB"/>
    <w:rsid w:val="00CB7ADF"/>
    <w:rsid w:val="00CD6A59"/>
    <w:rsid w:val="00D21BC3"/>
    <w:rsid w:val="00E522B3"/>
    <w:rsid w:val="00E76F4A"/>
    <w:rsid w:val="00ED011C"/>
    <w:rsid w:val="00EE3226"/>
    <w:rsid w:val="00EF7D3D"/>
    <w:rsid w:val="00F84D29"/>
    <w:rsid w:val="00FB1D2D"/>
    <w:rsid w:val="00FD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5605C"/>
    <w:pPr>
      <w:ind w:left="720"/>
      <w:contextualSpacing/>
    </w:pPr>
  </w:style>
  <w:style w:type="character" w:customStyle="1" w:styleId="feature-list-itemleft">
    <w:name w:val="feature-list-item_left"/>
    <w:basedOn w:val="a0"/>
    <w:rsid w:val="0006305A"/>
  </w:style>
  <w:style w:type="character" w:customStyle="1" w:styleId="feature-list-itemright">
    <w:name w:val="feature-list-item_right"/>
    <w:basedOn w:val="a0"/>
    <w:rsid w:val="0006305A"/>
  </w:style>
  <w:style w:type="paragraph" w:styleId="a5">
    <w:name w:val="header"/>
    <w:basedOn w:val="a"/>
    <w:link w:val="a6"/>
    <w:uiPriority w:val="99"/>
    <w:unhideWhenUsed/>
    <w:rsid w:val="00CD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A59"/>
  </w:style>
  <w:style w:type="paragraph" w:styleId="a7">
    <w:name w:val="footer"/>
    <w:basedOn w:val="a"/>
    <w:link w:val="a8"/>
    <w:uiPriority w:val="99"/>
    <w:unhideWhenUsed/>
    <w:rsid w:val="00CD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A59"/>
  </w:style>
  <w:style w:type="paragraph" w:styleId="a9">
    <w:name w:val="Balloon Text"/>
    <w:basedOn w:val="a"/>
    <w:link w:val="aa"/>
    <w:uiPriority w:val="99"/>
    <w:semiHidden/>
    <w:unhideWhenUsed/>
    <w:rsid w:val="00CD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A5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23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4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15605C"/>
    <w:pPr>
      <w:ind w:left="720"/>
      <w:contextualSpacing/>
    </w:pPr>
  </w:style>
  <w:style w:type="character" w:customStyle="1" w:styleId="feature-list-itemleft">
    <w:name w:val="feature-list-item_left"/>
    <w:basedOn w:val="Fontdeparagrafimplicit"/>
    <w:rsid w:val="0006305A"/>
  </w:style>
  <w:style w:type="character" w:customStyle="1" w:styleId="feature-list-itemright">
    <w:name w:val="feature-list-item_right"/>
    <w:basedOn w:val="Fontdeparagrafimplicit"/>
    <w:rsid w:val="0006305A"/>
  </w:style>
  <w:style w:type="paragraph" w:styleId="Antet">
    <w:name w:val="header"/>
    <w:basedOn w:val="Normal"/>
    <w:link w:val="AntetCaracter"/>
    <w:uiPriority w:val="99"/>
    <w:unhideWhenUsed/>
    <w:rsid w:val="00CD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D6A59"/>
  </w:style>
  <w:style w:type="paragraph" w:styleId="Subsol">
    <w:name w:val="footer"/>
    <w:basedOn w:val="Normal"/>
    <w:link w:val="SubsolCaracter"/>
    <w:uiPriority w:val="99"/>
    <w:unhideWhenUsed/>
    <w:rsid w:val="00CD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D6A59"/>
  </w:style>
  <w:style w:type="paragraph" w:styleId="TextnBalon">
    <w:name w:val="Balloon Text"/>
    <w:basedOn w:val="Normal"/>
    <w:link w:val="TextnBalonCaracter"/>
    <w:uiPriority w:val="99"/>
    <w:semiHidden/>
    <w:unhideWhenUsed/>
    <w:rsid w:val="00CD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6A5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.mazni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Asistenta Sociala</cp:lastModifiedBy>
  <cp:revision>13</cp:revision>
  <cp:lastPrinted>2019-07-25T12:20:00Z</cp:lastPrinted>
  <dcterms:created xsi:type="dcterms:W3CDTF">2019-04-03T09:29:00Z</dcterms:created>
  <dcterms:modified xsi:type="dcterms:W3CDTF">2019-07-25T12:30:00Z</dcterms:modified>
</cp:coreProperties>
</file>