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84BB" w14:textId="77777777" w:rsidR="006E4EF4" w:rsidRPr="00E1481B" w:rsidRDefault="006E4EF4" w:rsidP="009B45F0">
      <w:pPr>
        <w:spacing w:after="0" w:line="240" w:lineRule="auto"/>
        <w:jc w:val="right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>ANEXA 1</w:t>
      </w:r>
    </w:p>
    <w:p w14:paraId="1A30F14C" w14:textId="77777777" w:rsidR="006E4EF4" w:rsidRPr="00E1481B" w:rsidRDefault="006E4EF4" w:rsidP="009B45F0">
      <w:pPr>
        <w:spacing w:after="0" w:line="240" w:lineRule="auto"/>
        <w:jc w:val="right"/>
        <w:rPr>
          <w:rFonts w:cstheme="minorHAnsi"/>
          <w:b/>
          <w:lang w:val="ro-RO"/>
        </w:rPr>
      </w:pPr>
    </w:p>
    <w:p w14:paraId="62A5B1A5" w14:textId="77777777" w:rsidR="006E4EF4" w:rsidRPr="00E1481B" w:rsidRDefault="006E4EF4" w:rsidP="009B45F0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>TERMENI DE REFERINȚĂ</w:t>
      </w:r>
    </w:p>
    <w:p w14:paraId="099CFA42" w14:textId="51DB4F15" w:rsidR="006E4EF4" w:rsidRDefault="007539A1" w:rsidP="009B45F0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 xml:space="preserve">privind </w:t>
      </w:r>
      <w:r w:rsidR="006E4EF4" w:rsidRPr="00E1481B">
        <w:rPr>
          <w:rFonts w:cstheme="minorHAnsi"/>
          <w:b/>
          <w:lang w:val="ro-RO"/>
        </w:rPr>
        <w:t>contractarea expertului național pentru elaborarea pachetelor de servicii integrate pentru asigurarea incluziunii de calitate a copiilor cu dizabilități  de vedere</w:t>
      </w:r>
    </w:p>
    <w:p w14:paraId="65E456C9" w14:textId="77777777" w:rsidR="00CE1094" w:rsidRDefault="00CE1094" w:rsidP="00CE1094">
      <w:pPr>
        <w:spacing w:after="0" w:line="240" w:lineRule="auto"/>
        <w:rPr>
          <w:rFonts w:cstheme="minorHAnsi"/>
          <w:b/>
          <w:lang w:val="ro-RO"/>
        </w:rPr>
      </w:pPr>
    </w:p>
    <w:p w14:paraId="6ECD4432" w14:textId="77777777" w:rsidR="00CE1094" w:rsidRPr="00CE1094" w:rsidRDefault="00CE1094" w:rsidP="00CE1094">
      <w:pPr>
        <w:spacing w:after="0" w:line="240" w:lineRule="auto"/>
        <w:rPr>
          <w:rFonts w:cstheme="minorHAnsi"/>
          <w:b/>
          <w:lang w:val="ro-RO"/>
        </w:rPr>
      </w:pPr>
      <w:r w:rsidRPr="00CE1094">
        <w:rPr>
          <w:rFonts w:cstheme="minorHAnsi"/>
          <w:b/>
          <w:lang w:val="ro-RO"/>
        </w:rPr>
        <w:t xml:space="preserve">Data publicării anunțului: </w:t>
      </w:r>
      <w:r w:rsidRPr="00CE1094">
        <w:rPr>
          <w:rFonts w:cstheme="minorHAnsi"/>
          <w:lang w:val="ro-RO"/>
        </w:rPr>
        <w:t>30.06.2022</w:t>
      </w:r>
    </w:p>
    <w:p w14:paraId="53BE14B2" w14:textId="77777777" w:rsidR="00CE1094" w:rsidRPr="00CE1094" w:rsidRDefault="00CE1094" w:rsidP="00CE1094">
      <w:pPr>
        <w:spacing w:after="0" w:line="240" w:lineRule="auto"/>
        <w:rPr>
          <w:rFonts w:cstheme="minorHAnsi"/>
          <w:b/>
          <w:lang w:val="ro-RO"/>
        </w:rPr>
      </w:pPr>
      <w:r w:rsidRPr="00CE1094">
        <w:rPr>
          <w:rFonts w:cstheme="minorHAnsi"/>
          <w:b/>
          <w:lang w:val="ro-RO"/>
        </w:rPr>
        <w:t xml:space="preserve">Termenul limită de prezentare a dosarului: </w:t>
      </w:r>
      <w:r w:rsidRPr="00CE1094">
        <w:rPr>
          <w:rFonts w:cstheme="minorHAnsi"/>
          <w:lang w:val="ro-RO"/>
        </w:rPr>
        <w:t>10.06.2022, ora 18:00</w:t>
      </w:r>
    </w:p>
    <w:p w14:paraId="3E2CC51C" w14:textId="77777777" w:rsidR="00CE1094" w:rsidRPr="00CE1094" w:rsidRDefault="00CE1094" w:rsidP="00CE1094">
      <w:pPr>
        <w:spacing w:after="0" w:line="240" w:lineRule="auto"/>
        <w:rPr>
          <w:rFonts w:cstheme="minorHAnsi"/>
          <w:b/>
          <w:lang w:val="ro-RO"/>
        </w:rPr>
      </w:pPr>
      <w:r w:rsidRPr="00CE1094">
        <w:rPr>
          <w:rFonts w:cstheme="minorHAnsi"/>
          <w:b/>
          <w:lang w:val="ro-RO"/>
        </w:rPr>
        <w:t xml:space="preserve">Procedura de achiziție: </w:t>
      </w:r>
      <w:r w:rsidRPr="00CE1094">
        <w:rPr>
          <w:rFonts w:cstheme="minorHAnsi"/>
          <w:lang w:val="ro-RO"/>
        </w:rPr>
        <w:t>Licitație deschisă</w:t>
      </w:r>
    </w:p>
    <w:p w14:paraId="569291D8" w14:textId="77777777" w:rsidR="00CE1094" w:rsidRPr="00CE1094" w:rsidRDefault="00CE1094" w:rsidP="00CE1094">
      <w:pPr>
        <w:spacing w:after="0" w:line="240" w:lineRule="auto"/>
        <w:rPr>
          <w:rFonts w:cstheme="minorHAnsi"/>
          <w:b/>
          <w:lang w:val="ro-RO"/>
        </w:rPr>
      </w:pPr>
      <w:r w:rsidRPr="00CE1094">
        <w:rPr>
          <w:rFonts w:cstheme="minorHAnsi"/>
          <w:b/>
          <w:lang w:val="ro-RO"/>
        </w:rPr>
        <w:t>Selecție în baza calității și costului</w:t>
      </w:r>
    </w:p>
    <w:p w14:paraId="1D16B148" w14:textId="4FF20108" w:rsidR="00CE1094" w:rsidRDefault="00CE1094" w:rsidP="00CE1094">
      <w:pPr>
        <w:spacing w:after="0" w:line="240" w:lineRule="auto"/>
        <w:rPr>
          <w:rFonts w:cstheme="minorHAnsi"/>
          <w:b/>
          <w:lang w:val="ro-RO"/>
        </w:rPr>
      </w:pPr>
      <w:r w:rsidRPr="00CE1094">
        <w:rPr>
          <w:rFonts w:cstheme="minorHAnsi"/>
          <w:b/>
          <w:lang w:val="ro-RO"/>
        </w:rPr>
        <w:t xml:space="preserve">Tipul contractului: </w:t>
      </w:r>
      <w:r w:rsidRPr="00CE1094">
        <w:rPr>
          <w:rFonts w:cstheme="minorHAnsi"/>
          <w:lang w:val="ro-RO"/>
        </w:rPr>
        <w:t>Contract prestări servicii</w:t>
      </w:r>
    </w:p>
    <w:p w14:paraId="0A9BC5B1" w14:textId="77777777" w:rsidR="00CE1094" w:rsidRPr="00E1481B" w:rsidRDefault="00CE1094" w:rsidP="00CE1094">
      <w:pPr>
        <w:spacing w:after="0" w:line="240" w:lineRule="auto"/>
        <w:rPr>
          <w:rFonts w:cstheme="minorHAnsi"/>
          <w:b/>
          <w:lang w:val="ro-RO"/>
        </w:rPr>
      </w:pPr>
    </w:p>
    <w:p w14:paraId="66397E5B" w14:textId="77777777" w:rsidR="006E4EF4" w:rsidRPr="00E1481B" w:rsidRDefault="006E4EF4" w:rsidP="009B45F0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46B154BB" w14:textId="77777777" w:rsidR="006E4EF4" w:rsidRPr="00E1481B" w:rsidRDefault="006E4EF4" w:rsidP="009B45F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 xml:space="preserve">INFORMAȚIE DE CONTEXT </w:t>
      </w:r>
    </w:p>
    <w:p w14:paraId="1C0C6473" w14:textId="35A0EE9F" w:rsidR="006E4EF4" w:rsidRPr="00E1481B" w:rsidRDefault="006E4EF4" w:rsidP="009B45F0">
      <w:pPr>
        <w:spacing w:after="0" w:line="240" w:lineRule="auto"/>
        <w:ind w:firstLine="567"/>
        <w:jc w:val="both"/>
        <w:rPr>
          <w:rFonts w:eastAsia="Calibri" w:cstheme="minorHAnsi"/>
          <w:lang w:val="ro-RO"/>
        </w:rPr>
      </w:pPr>
      <w:r w:rsidRPr="00E1481B">
        <w:rPr>
          <w:rFonts w:eastAsia="Calibri" w:cstheme="minorHAnsi"/>
          <w:lang w:val="ro-MD"/>
        </w:rPr>
        <w:t>Keystone Moldova, cu suportul financiar al Fundației Soros Moldova</w:t>
      </w:r>
      <w:r w:rsidR="007539A1" w:rsidRPr="00E1481B">
        <w:rPr>
          <w:rFonts w:eastAsia="Calibri" w:cstheme="minorHAnsi"/>
          <w:lang w:val="ro-MD"/>
        </w:rPr>
        <w:t>,</w:t>
      </w:r>
      <w:r w:rsidRPr="00E1481B">
        <w:rPr>
          <w:rFonts w:eastAsia="Calibri" w:cstheme="minorHAnsi"/>
          <w:lang w:val="ro-MD"/>
        </w:rPr>
        <w:t xml:space="preserve"> implementează proiectul </w:t>
      </w:r>
      <w:r w:rsidRPr="00E1481B">
        <w:rPr>
          <w:rFonts w:eastAsia="Calibri" w:cstheme="minorHAnsi"/>
          <w:b/>
          <w:lang w:val="ro-MD"/>
        </w:rPr>
        <w:t xml:space="preserve">„Servicii de suport pentru incluziunea educațională a copiilor cu dizabilități </w:t>
      </w:r>
      <w:r w:rsidRPr="00E1481B">
        <w:rPr>
          <w:rFonts w:eastAsia="Calibri" w:cstheme="minorHAnsi"/>
          <w:lang w:val="ro-MD"/>
        </w:rPr>
        <w:t>”, care</w:t>
      </w:r>
      <w:r w:rsidRPr="00E1481B">
        <w:rPr>
          <w:rFonts w:eastAsia="Calibri" w:cstheme="minorHAnsi"/>
          <w:b/>
          <w:lang w:val="ro-MD"/>
        </w:rPr>
        <w:t xml:space="preserve"> </w:t>
      </w:r>
      <w:r w:rsidRPr="00E1481B">
        <w:rPr>
          <w:rFonts w:eastAsia="Calibri" w:cstheme="minorHAnsi"/>
          <w:lang w:val="ro-MD"/>
        </w:rPr>
        <w:t xml:space="preserve">va contribui la dezvoltarea și promovarea pachetelor noi de servicii de suport educațional pentru copiii/tinerii cu dizabilități severe, precum și la elaborarea și promovarea unui concept nou de </w:t>
      </w:r>
      <w:r w:rsidR="007539A1" w:rsidRPr="00E1481B">
        <w:rPr>
          <w:rFonts w:eastAsia="Calibri" w:cstheme="minorHAnsi"/>
          <w:lang w:val="ro-MD"/>
        </w:rPr>
        <w:t>s</w:t>
      </w:r>
      <w:r w:rsidRPr="00E1481B">
        <w:rPr>
          <w:rFonts w:eastAsia="Calibri" w:cstheme="minorHAnsi"/>
          <w:lang w:val="ro-MD"/>
        </w:rPr>
        <w:t xml:space="preserve">ervicii de asistență </w:t>
      </w:r>
      <w:proofErr w:type="spellStart"/>
      <w:r w:rsidRPr="00E1481B">
        <w:rPr>
          <w:rFonts w:eastAsia="Calibri" w:cstheme="minorHAnsi"/>
          <w:lang w:val="ro-MD"/>
        </w:rPr>
        <w:t>psiho</w:t>
      </w:r>
      <w:proofErr w:type="spellEnd"/>
      <w:r w:rsidRPr="00E1481B">
        <w:rPr>
          <w:rFonts w:eastAsia="Calibri" w:cstheme="minorHAnsi"/>
          <w:lang w:val="ro-MD"/>
        </w:rPr>
        <w:t xml:space="preserve">-pedagogică. </w:t>
      </w:r>
      <w:r w:rsidRPr="00E1481B">
        <w:rPr>
          <w:rFonts w:eastAsia="Calibri" w:cstheme="minorHAnsi"/>
          <w:lang w:val="ro-RO"/>
        </w:rPr>
        <w:t xml:space="preserve">O atenție deosebită va fi acordată </w:t>
      </w:r>
      <w:proofErr w:type="spellStart"/>
      <w:r w:rsidRPr="00E1481B">
        <w:rPr>
          <w:rFonts w:eastAsia="Calibri" w:cstheme="minorHAnsi"/>
          <w:lang w:val="ro-RO"/>
        </w:rPr>
        <w:t>costificării</w:t>
      </w:r>
      <w:proofErr w:type="spellEnd"/>
      <w:r w:rsidRPr="00E1481B">
        <w:rPr>
          <w:rFonts w:eastAsia="Calibri" w:cstheme="minorHAnsi"/>
          <w:lang w:val="ro-RO"/>
        </w:rPr>
        <w:t xml:space="preserve"> serviciilor educaționale, inclusiv a C</w:t>
      </w:r>
      <w:r w:rsidR="001E1031" w:rsidRPr="00E1481B">
        <w:rPr>
          <w:rFonts w:eastAsia="Calibri" w:cstheme="minorHAnsi"/>
          <w:lang w:val="ro-RO"/>
        </w:rPr>
        <w:t xml:space="preserve">entrului </w:t>
      </w:r>
      <w:r w:rsidRPr="00E1481B">
        <w:rPr>
          <w:rFonts w:eastAsia="Calibri" w:cstheme="minorHAnsi"/>
          <w:lang w:val="ro-RO"/>
        </w:rPr>
        <w:t>R</w:t>
      </w:r>
      <w:r w:rsidR="001E1031" w:rsidRPr="00E1481B">
        <w:rPr>
          <w:rFonts w:eastAsia="Calibri" w:cstheme="minorHAnsi"/>
          <w:lang w:val="ro-RO"/>
        </w:rPr>
        <w:t xml:space="preserve">epublican de </w:t>
      </w:r>
      <w:r w:rsidRPr="00E1481B">
        <w:rPr>
          <w:rFonts w:eastAsia="Calibri" w:cstheme="minorHAnsi"/>
          <w:lang w:val="ro-RO"/>
        </w:rPr>
        <w:t>A</w:t>
      </w:r>
      <w:r w:rsidR="001E1031" w:rsidRPr="00E1481B">
        <w:rPr>
          <w:rFonts w:eastAsia="Calibri" w:cstheme="minorHAnsi"/>
          <w:lang w:val="ro-RO"/>
        </w:rPr>
        <w:t xml:space="preserve">sistență </w:t>
      </w:r>
      <w:r w:rsidRPr="00E1481B">
        <w:rPr>
          <w:rFonts w:eastAsia="Calibri" w:cstheme="minorHAnsi"/>
          <w:lang w:val="ro-RO"/>
        </w:rPr>
        <w:t>P</w:t>
      </w:r>
      <w:r w:rsidR="001E1031" w:rsidRPr="00E1481B">
        <w:rPr>
          <w:rFonts w:eastAsia="Calibri" w:cstheme="minorHAnsi"/>
          <w:lang w:val="ro-RO"/>
        </w:rPr>
        <w:t>sihopedagogă</w:t>
      </w:r>
      <w:r w:rsidRPr="00E1481B">
        <w:rPr>
          <w:rFonts w:eastAsia="Calibri" w:cstheme="minorHAnsi"/>
          <w:lang w:val="ro-RO"/>
        </w:rPr>
        <w:t>/S</w:t>
      </w:r>
      <w:r w:rsidR="001E1031" w:rsidRPr="00E1481B">
        <w:rPr>
          <w:rFonts w:eastAsia="Calibri" w:cstheme="minorHAnsi"/>
          <w:lang w:val="ro-RO"/>
        </w:rPr>
        <w:t xml:space="preserve">erviciile de </w:t>
      </w:r>
      <w:r w:rsidRPr="00E1481B">
        <w:rPr>
          <w:rFonts w:eastAsia="Calibri" w:cstheme="minorHAnsi"/>
          <w:lang w:val="ro-RO"/>
        </w:rPr>
        <w:t>A</w:t>
      </w:r>
      <w:r w:rsidR="001E1031" w:rsidRPr="00E1481B">
        <w:rPr>
          <w:rFonts w:eastAsia="Calibri" w:cstheme="minorHAnsi"/>
          <w:lang w:val="ro-RO"/>
        </w:rPr>
        <w:t xml:space="preserve">sistență </w:t>
      </w:r>
      <w:r w:rsidRPr="00E1481B">
        <w:rPr>
          <w:rFonts w:eastAsia="Calibri" w:cstheme="minorHAnsi"/>
          <w:lang w:val="ro-RO"/>
        </w:rPr>
        <w:t>P</w:t>
      </w:r>
      <w:r w:rsidR="001E1031" w:rsidRPr="00E1481B">
        <w:rPr>
          <w:rFonts w:eastAsia="Calibri" w:cstheme="minorHAnsi"/>
          <w:lang w:val="ro-RO"/>
        </w:rPr>
        <w:t>sihopedagogică (CRAP/SAP)</w:t>
      </w:r>
      <w:r w:rsidRPr="00E1481B">
        <w:rPr>
          <w:rFonts w:eastAsia="Calibri" w:cstheme="minorHAnsi"/>
          <w:lang w:val="ro-RO"/>
        </w:rPr>
        <w:t>, în vederea unei integrări ulterioare a acestor costuri în bugetul educațional la nivel de țară.</w:t>
      </w:r>
    </w:p>
    <w:p w14:paraId="22765371" w14:textId="3CF18385" w:rsidR="006E4EF4" w:rsidRPr="00E1481B" w:rsidRDefault="006E4EF4" w:rsidP="009B45F0">
      <w:pPr>
        <w:spacing w:after="0" w:line="240" w:lineRule="auto"/>
        <w:ind w:firstLine="567"/>
        <w:jc w:val="both"/>
        <w:rPr>
          <w:rFonts w:eastAsia="Calibri" w:cstheme="minorHAnsi"/>
          <w:lang w:val="ro-MD"/>
        </w:rPr>
      </w:pPr>
      <w:r w:rsidRPr="00E1481B">
        <w:rPr>
          <w:rFonts w:eastAsia="Calibri" w:cstheme="minorHAnsi"/>
          <w:lang w:val="ro-MD"/>
        </w:rPr>
        <w:t>Experta</w:t>
      </w:r>
      <w:r w:rsidR="00B82F7D" w:rsidRPr="00E1481B">
        <w:rPr>
          <w:rFonts w:eastAsia="Calibri" w:cstheme="minorHAnsi"/>
          <w:lang w:val="ro-MD"/>
        </w:rPr>
        <w:t xml:space="preserve"> sau exper</w:t>
      </w:r>
      <w:r w:rsidRPr="00E1481B">
        <w:rPr>
          <w:rFonts w:eastAsia="Calibri" w:cstheme="minorHAnsi"/>
          <w:lang w:val="ro-MD"/>
        </w:rPr>
        <w:t>tul național contractat/ă va fi responsabil/ă de elaborarea regulamentelor și standardelor pentru două se</w:t>
      </w:r>
      <w:r w:rsidR="00B820E0">
        <w:rPr>
          <w:rFonts w:eastAsia="Calibri" w:cstheme="minorHAnsi"/>
          <w:lang w:val="ro-MD"/>
        </w:rPr>
        <w:t>rvicii de suport educaționale (</w:t>
      </w:r>
      <w:r w:rsidRPr="00E1481B">
        <w:rPr>
          <w:rFonts w:eastAsia="Calibri" w:cstheme="minorHAnsi"/>
          <w:lang w:val="ro-MD"/>
        </w:rPr>
        <w:t xml:space="preserve">psiholog și terapeut comportamentalist), precum și a pachetelor de servicii integrate pentru asigurarea incluziunii de calitate a copiilor cu dizabilități de vedere. </w:t>
      </w:r>
    </w:p>
    <w:p w14:paraId="306BCA5A" w14:textId="2D302D63" w:rsidR="006E4EF4" w:rsidRPr="00E1481B" w:rsidRDefault="006E4EF4" w:rsidP="009B45F0">
      <w:pPr>
        <w:spacing w:after="0" w:line="240" w:lineRule="auto"/>
        <w:ind w:firstLine="567"/>
        <w:jc w:val="both"/>
        <w:rPr>
          <w:rFonts w:eastAsia="Calibri" w:cstheme="minorHAnsi"/>
          <w:lang w:val="ro-MD"/>
        </w:rPr>
      </w:pPr>
      <w:r w:rsidRPr="00E1481B">
        <w:rPr>
          <w:rFonts w:eastAsia="Calibri" w:cstheme="minorHAnsi"/>
          <w:lang w:val="ro-MD"/>
        </w:rPr>
        <w:t xml:space="preserve">Expertul/a național/ă va activa în echipă cu alți 3 consultanți </w:t>
      </w:r>
      <w:r w:rsidR="00B82F7D" w:rsidRPr="00E1481B">
        <w:rPr>
          <w:rFonts w:eastAsia="Calibri" w:cstheme="minorHAnsi"/>
          <w:lang w:val="ro-MD"/>
        </w:rPr>
        <w:t xml:space="preserve">deja </w:t>
      </w:r>
      <w:r w:rsidR="001E1031" w:rsidRPr="00E1481B">
        <w:rPr>
          <w:rFonts w:eastAsia="Calibri" w:cstheme="minorHAnsi"/>
          <w:lang w:val="ro-MD"/>
        </w:rPr>
        <w:t>angajați</w:t>
      </w:r>
      <w:r w:rsidR="001E1031" w:rsidRPr="00E1481B">
        <w:rPr>
          <w:rFonts w:eastAsia="Calibri" w:cstheme="minorHAnsi"/>
          <w:lang w:val="ro-RO"/>
        </w:rPr>
        <w:t xml:space="preserve"> </w:t>
      </w:r>
      <w:r w:rsidR="00B82F7D" w:rsidRPr="00E1481B">
        <w:rPr>
          <w:rFonts w:eastAsia="Calibri" w:cstheme="minorHAnsi"/>
          <w:lang w:val="ro-RO"/>
        </w:rPr>
        <w:t xml:space="preserve">în cadrul proiectului </w:t>
      </w:r>
      <w:r w:rsidRPr="00E1481B">
        <w:rPr>
          <w:rFonts w:eastAsia="Calibri" w:cstheme="minorHAnsi"/>
          <w:lang w:val="ro-MD"/>
        </w:rPr>
        <w:t>care vor dezvolta pachete integrate pentru copiii cu dizabilități de auz, intelectuale și pentru copiii cu T</w:t>
      </w:r>
      <w:r w:rsidR="001E1031" w:rsidRPr="00E1481B">
        <w:rPr>
          <w:rFonts w:eastAsia="Calibri" w:cstheme="minorHAnsi"/>
          <w:lang w:val="ro-MD"/>
        </w:rPr>
        <w:t xml:space="preserve">ulburări </w:t>
      </w:r>
      <w:r w:rsidR="007B2395" w:rsidRPr="00E1481B">
        <w:rPr>
          <w:rFonts w:eastAsia="Calibri" w:cstheme="minorHAnsi"/>
          <w:lang w:val="ro-MD"/>
        </w:rPr>
        <w:t>de</w:t>
      </w:r>
      <w:r w:rsidR="001E1031" w:rsidRPr="00E1481B">
        <w:rPr>
          <w:rFonts w:eastAsia="Calibri" w:cstheme="minorHAnsi"/>
          <w:lang w:val="ro-MD"/>
        </w:rPr>
        <w:t xml:space="preserve"> </w:t>
      </w:r>
      <w:r w:rsidRPr="00E1481B">
        <w:rPr>
          <w:rFonts w:eastAsia="Calibri" w:cstheme="minorHAnsi"/>
          <w:lang w:val="ro-MD"/>
        </w:rPr>
        <w:t>S</w:t>
      </w:r>
      <w:r w:rsidR="007B2395" w:rsidRPr="00E1481B">
        <w:rPr>
          <w:rFonts w:eastAsia="Calibri" w:cstheme="minorHAnsi"/>
          <w:lang w:val="ro-MD"/>
        </w:rPr>
        <w:t>pectru</w:t>
      </w:r>
      <w:r w:rsidR="001E1031" w:rsidRPr="00E1481B">
        <w:rPr>
          <w:rFonts w:eastAsia="Calibri" w:cstheme="minorHAnsi"/>
          <w:lang w:val="ro-MD"/>
        </w:rPr>
        <w:t xml:space="preserve"> </w:t>
      </w:r>
      <w:r w:rsidRPr="00E1481B">
        <w:rPr>
          <w:rFonts w:eastAsia="Calibri" w:cstheme="minorHAnsi"/>
          <w:lang w:val="ro-MD"/>
        </w:rPr>
        <w:t>A</w:t>
      </w:r>
      <w:r w:rsidR="001E1031" w:rsidRPr="00E1481B">
        <w:rPr>
          <w:rFonts w:eastAsia="Calibri" w:cstheme="minorHAnsi"/>
          <w:lang w:val="ro-MD"/>
        </w:rPr>
        <w:t>utis</w:t>
      </w:r>
      <w:r w:rsidR="007B2395" w:rsidRPr="00E1481B">
        <w:rPr>
          <w:rFonts w:eastAsia="Calibri" w:cstheme="minorHAnsi"/>
          <w:lang w:val="ro-MD"/>
        </w:rPr>
        <w:t>t</w:t>
      </w:r>
      <w:r w:rsidRPr="00E1481B">
        <w:rPr>
          <w:rFonts w:eastAsia="Calibri" w:cstheme="minorHAnsi"/>
          <w:lang w:val="ro-MD"/>
        </w:rPr>
        <w:t xml:space="preserve"> pentru asigurarea unei viziuni integre asupra serviciilor dezvoltate și definitivarea costurilor. Expertul/a va raporta direct liderului de echipă Viorica Cojocaru.</w:t>
      </w:r>
    </w:p>
    <w:p w14:paraId="323EB04B" w14:textId="62976528" w:rsidR="006E4EF4" w:rsidRPr="00E1481B" w:rsidRDefault="006E4EF4" w:rsidP="009B45F0">
      <w:pPr>
        <w:spacing w:after="0" w:line="240" w:lineRule="auto"/>
        <w:ind w:firstLine="567"/>
        <w:jc w:val="both"/>
        <w:rPr>
          <w:rFonts w:eastAsia="Calibri" w:cstheme="minorHAnsi"/>
          <w:lang w:val="ro-MD"/>
        </w:rPr>
      </w:pPr>
      <w:r w:rsidRPr="00E1481B">
        <w:rPr>
          <w:rFonts w:eastAsia="Calibri" w:cstheme="minorHAnsi"/>
          <w:lang w:val="ro-MD"/>
        </w:rPr>
        <w:t>Expertul/a național/ă va activa în strânsă colaborare cu Ministerul Educației și Cercetării</w:t>
      </w:r>
      <w:r w:rsidR="00136C22" w:rsidRPr="00E1481B">
        <w:rPr>
          <w:rFonts w:eastAsia="Calibri" w:cstheme="minorHAnsi"/>
          <w:lang w:val="ro-MD"/>
        </w:rPr>
        <w:t xml:space="preserve"> (MEC)</w:t>
      </w:r>
      <w:r w:rsidRPr="00E1481B">
        <w:rPr>
          <w:rFonts w:eastAsia="Calibri" w:cstheme="minorHAnsi"/>
          <w:lang w:val="ro-MD"/>
        </w:rPr>
        <w:t xml:space="preserve">, </w:t>
      </w:r>
      <w:r w:rsidR="00B82F7D" w:rsidRPr="00E1481B">
        <w:rPr>
          <w:rFonts w:eastAsia="Calibri" w:cstheme="minorHAnsi"/>
          <w:lang w:val="ro-MD"/>
        </w:rPr>
        <w:t>Ministerul Muncii și Protecției Sociale</w:t>
      </w:r>
      <w:r w:rsidR="00136C22" w:rsidRPr="00E1481B">
        <w:rPr>
          <w:rFonts w:eastAsia="Calibri" w:cstheme="minorHAnsi"/>
          <w:lang w:val="ro-MD"/>
        </w:rPr>
        <w:t xml:space="preserve"> (MMPS)</w:t>
      </w:r>
      <w:r w:rsidR="00B82F7D" w:rsidRPr="00E1481B">
        <w:rPr>
          <w:rFonts w:eastAsia="Calibri" w:cstheme="minorHAnsi"/>
          <w:lang w:val="ro-MD"/>
        </w:rPr>
        <w:t xml:space="preserve">, </w:t>
      </w:r>
      <w:r w:rsidRPr="00E1481B">
        <w:rPr>
          <w:rFonts w:eastAsia="Calibri" w:cstheme="minorHAnsi"/>
          <w:lang w:val="ro-MD"/>
        </w:rPr>
        <w:t>Comisiile Parlamentare în domeniul protecție sociale și a educației, CRAP și autoritățile publice locale pentru o abordare conceptuală comprehensivă și sustenabilă a serviciilor dezvoltate.</w:t>
      </w:r>
    </w:p>
    <w:p w14:paraId="29FDFFAB" w14:textId="77777777" w:rsidR="006E4EF4" w:rsidRPr="00E1481B" w:rsidRDefault="006E4EF4" w:rsidP="009B45F0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10461578" w14:textId="77777777" w:rsidR="006E4EF4" w:rsidRPr="00E1481B" w:rsidRDefault="006E4EF4" w:rsidP="009B45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lang w:val="ro-RO"/>
        </w:rPr>
      </w:pPr>
      <w:r w:rsidRPr="00E1481B">
        <w:rPr>
          <w:rFonts w:cstheme="minorHAnsi"/>
          <w:b/>
          <w:lang w:val="ro-RO"/>
        </w:rPr>
        <w:t>OBIECTIVELE CONSULTANȚEI</w:t>
      </w:r>
      <w:r w:rsidRPr="00E1481B">
        <w:rPr>
          <w:rFonts w:cstheme="minorHAnsi"/>
          <w:lang w:val="ro-RO"/>
        </w:rPr>
        <w:t>:</w:t>
      </w:r>
    </w:p>
    <w:p w14:paraId="6BB267F8" w14:textId="71A0D307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 xml:space="preserve">Efectuarea analizei opțiunilor de încadrare a nevoilor copiilor cu dizabilități de vedere în servicii educaționale și non-educaționale destinate copiilor cu dizabilități de vedere pentru o dezvoltare complexă și </w:t>
      </w:r>
      <w:r w:rsidR="00136C22" w:rsidRPr="00E1481B">
        <w:rPr>
          <w:rFonts w:eastAsia="Calibri" w:cstheme="minorHAnsi"/>
          <w:iCs/>
          <w:lang w:val="ro-RO"/>
        </w:rPr>
        <w:t xml:space="preserve">determinarea </w:t>
      </w:r>
      <w:r w:rsidRPr="00E1481B">
        <w:rPr>
          <w:rFonts w:eastAsia="Calibri" w:cstheme="minorHAnsi"/>
          <w:iCs/>
          <w:lang w:val="ro-RO"/>
        </w:rPr>
        <w:t>mecanismelor de asigurare a accesului la servicii de reabilitare și de educație incluzivă</w:t>
      </w:r>
      <w:r w:rsidR="00136C22" w:rsidRPr="00E1481B">
        <w:rPr>
          <w:rFonts w:eastAsia="Calibri" w:cstheme="minorHAnsi"/>
          <w:iCs/>
          <w:lang w:val="ro-RO"/>
        </w:rPr>
        <w:t>,</w:t>
      </w:r>
      <w:r w:rsidRPr="00E1481B">
        <w:rPr>
          <w:rFonts w:eastAsia="Calibri" w:cstheme="minorHAnsi"/>
          <w:iCs/>
          <w:lang w:val="ro-RO"/>
        </w:rPr>
        <w:t xml:space="preserve"> destinate copiilor cu dizabilități de vedere la toate vârstele (din </w:t>
      </w:r>
      <w:r w:rsidR="00765BD8" w:rsidRPr="00E1481B">
        <w:rPr>
          <w:rFonts w:eastAsia="Calibri" w:cstheme="minorHAnsi"/>
          <w:iCs/>
          <w:lang w:val="ro-RO"/>
        </w:rPr>
        <w:t>Educația timpurie</w:t>
      </w:r>
      <w:r w:rsidR="005B625A">
        <w:rPr>
          <w:rFonts w:eastAsia="Calibri" w:cstheme="minorHAnsi"/>
          <w:iCs/>
          <w:lang w:val="ro-RO"/>
        </w:rPr>
        <w:t xml:space="preserve"> (IET)</w:t>
      </w:r>
      <w:r w:rsidRPr="00E1481B">
        <w:rPr>
          <w:rFonts w:eastAsia="Calibri" w:cstheme="minorHAnsi"/>
          <w:iCs/>
          <w:lang w:val="ro-RO"/>
        </w:rPr>
        <w:t xml:space="preserve">, Învățământ general, </w:t>
      </w:r>
      <w:r w:rsidR="00765BD8" w:rsidRPr="00E1481B">
        <w:rPr>
          <w:rFonts w:eastAsia="Calibri" w:cstheme="minorHAnsi"/>
          <w:iCs/>
          <w:lang w:val="ro-RO"/>
        </w:rPr>
        <w:t>Învățământul profesional tehnic</w:t>
      </w:r>
      <w:r w:rsidR="005B625A">
        <w:rPr>
          <w:rFonts w:eastAsia="Calibri" w:cstheme="minorHAnsi"/>
          <w:iCs/>
          <w:lang w:val="ro-RO"/>
        </w:rPr>
        <w:t xml:space="preserve"> (IÎPT));</w:t>
      </w:r>
    </w:p>
    <w:p w14:paraId="364B8AF5" w14:textId="0F6D64C4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 xml:space="preserve">Revizuirea </w:t>
      </w:r>
      <w:r w:rsidR="00136C22" w:rsidRPr="00E1481B">
        <w:rPr>
          <w:rFonts w:eastAsia="Calibri" w:cstheme="minorHAnsi"/>
          <w:iCs/>
          <w:lang w:val="ro-RO"/>
        </w:rPr>
        <w:t>și completarea</w:t>
      </w:r>
      <w:r w:rsidRPr="00E1481B">
        <w:rPr>
          <w:rFonts w:eastAsia="Calibri" w:cstheme="minorHAnsi"/>
          <w:iCs/>
          <w:lang w:val="ro-RO"/>
        </w:rPr>
        <w:t xml:space="preserve"> </w:t>
      </w:r>
      <w:r w:rsidR="00136C22" w:rsidRPr="00E1481B">
        <w:rPr>
          <w:rFonts w:eastAsia="Calibri" w:cstheme="minorHAnsi"/>
          <w:iCs/>
          <w:lang w:val="ro-RO"/>
        </w:rPr>
        <w:t>R</w:t>
      </w:r>
      <w:r w:rsidRPr="00E1481B">
        <w:rPr>
          <w:rFonts w:eastAsia="Calibri" w:cstheme="minorHAnsi"/>
          <w:iCs/>
          <w:lang w:val="ro-RO"/>
        </w:rPr>
        <w:t xml:space="preserve">egulamentelor și elaborarea </w:t>
      </w:r>
      <w:r w:rsidR="00136C22" w:rsidRPr="00E1481B">
        <w:rPr>
          <w:rFonts w:eastAsia="Calibri" w:cstheme="minorHAnsi"/>
          <w:iCs/>
          <w:lang w:val="ro-RO"/>
        </w:rPr>
        <w:t>S</w:t>
      </w:r>
      <w:r w:rsidRPr="00E1481B">
        <w:rPr>
          <w:rFonts w:eastAsia="Calibri" w:cstheme="minorHAnsi"/>
          <w:iCs/>
          <w:lang w:val="ro-RO"/>
        </w:rPr>
        <w:t>tandardelor de calitate pentru serviciile educaționale: psiholog și terapeut comportamentalist;</w:t>
      </w:r>
    </w:p>
    <w:p w14:paraId="0B1EA835" w14:textId="77777777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>Consultarea Regulamentelor și Standardelor cu specialiștii si decidenții din domeniu (CRAP și MEC);</w:t>
      </w:r>
    </w:p>
    <w:p w14:paraId="3227AC82" w14:textId="77777777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>Revizuirea și completarea Regulamentelor și Standardelor cu recomandările specialiștilor;</w:t>
      </w:r>
    </w:p>
    <w:p w14:paraId="3711B3FF" w14:textId="77777777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>Elaborarea Pachetelor de servicii integrate pentru toate nivelurile de învățământ (IET, Învățământ general, IÎPT) pentru copiii cu dizabilități de vedere, pe nivele de severitate;</w:t>
      </w:r>
    </w:p>
    <w:p w14:paraId="3D32FD07" w14:textId="77777777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 xml:space="preserve">Încadrarea mecanismului de asigurare a accesului la servicii </w:t>
      </w:r>
      <w:proofErr w:type="spellStart"/>
      <w:r w:rsidRPr="00E1481B">
        <w:rPr>
          <w:rFonts w:eastAsia="Calibri" w:cstheme="minorHAnsi"/>
          <w:iCs/>
          <w:lang w:val="ro-RO"/>
        </w:rPr>
        <w:t>medico</w:t>
      </w:r>
      <w:proofErr w:type="spellEnd"/>
      <w:r w:rsidRPr="00E1481B">
        <w:rPr>
          <w:rFonts w:eastAsia="Calibri" w:cstheme="minorHAnsi"/>
          <w:iCs/>
          <w:lang w:val="ro-RO"/>
        </w:rPr>
        <w:t>-sociale pentru copiii cu dizabilități de vedere și cooperarea acestora cu serviciile de educație incluzivă;</w:t>
      </w:r>
    </w:p>
    <w:p w14:paraId="6821C2A4" w14:textId="72BF60D5" w:rsidR="006E4EF4" w:rsidRPr="00E1481B" w:rsidRDefault="006E4EF4" w:rsidP="009B45F0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E1481B">
        <w:rPr>
          <w:rFonts w:eastAsia="Calibri" w:cstheme="minorHAnsi"/>
          <w:iCs/>
          <w:lang w:val="ro-RO"/>
        </w:rPr>
        <w:t xml:space="preserve">Organizarea ședințelor de consultare a pachetelor dezvoltate cu </w:t>
      </w:r>
      <w:r w:rsidR="001A5A56" w:rsidRPr="00E1481B">
        <w:rPr>
          <w:rFonts w:eastAsia="Calibri" w:cstheme="minorHAnsi"/>
          <w:iCs/>
          <w:lang w:val="ro-RO"/>
        </w:rPr>
        <w:t xml:space="preserve">un </w:t>
      </w:r>
      <w:r w:rsidRPr="00E1481B">
        <w:rPr>
          <w:rFonts w:eastAsia="Calibri" w:cstheme="minorHAnsi"/>
          <w:iCs/>
          <w:lang w:val="ro-RO"/>
        </w:rPr>
        <w:t>specialist pe finanțe;</w:t>
      </w:r>
    </w:p>
    <w:p w14:paraId="4377D9A2" w14:textId="21E0E3A6" w:rsidR="00447686" w:rsidRPr="00447686" w:rsidRDefault="00447686" w:rsidP="00844CD9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447686">
        <w:rPr>
          <w:rFonts w:eastAsia="Calibri" w:cstheme="minorHAnsi"/>
          <w:iCs/>
          <w:lang w:val="ro-RO"/>
        </w:rPr>
        <w:t xml:space="preserve">Consultarea cu specialiștii SAP, </w:t>
      </w:r>
      <w:r w:rsidR="00844CD9">
        <w:rPr>
          <w:rFonts w:eastAsia="Calibri" w:cstheme="minorHAnsi"/>
          <w:iCs/>
          <w:lang w:val="ro-RO"/>
        </w:rPr>
        <w:t xml:space="preserve">cu specialiștii </w:t>
      </w:r>
      <w:r w:rsidR="00844CD9" w:rsidRPr="00844CD9">
        <w:rPr>
          <w:rFonts w:eastAsia="Calibri" w:cstheme="minorHAnsi"/>
          <w:iCs/>
          <w:lang w:val="ro-RO"/>
        </w:rPr>
        <w:t xml:space="preserve">organelor locale de specialitate în domeniul învățământului </w:t>
      </w:r>
      <w:r w:rsidR="00844CD9">
        <w:rPr>
          <w:rFonts w:eastAsia="Calibri" w:cstheme="minorHAnsi"/>
          <w:iCs/>
          <w:lang w:val="ro-RO"/>
        </w:rPr>
        <w:t>(</w:t>
      </w:r>
      <w:r w:rsidRPr="00447686">
        <w:rPr>
          <w:rFonts w:eastAsia="Calibri" w:cstheme="minorHAnsi"/>
          <w:iCs/>
          <w:lang w:val="ro-RO"/>
        </w:rPr>
        <w:t>OLSDI</w:t>
      </w:r>
      <w:r w:rsidR="00844CD9">
        <w:rPr>
          <w:rFonts w:eastAsia="Calibri" w:cstheme="minorHAnsi"/>
          <w:iCs/>
          <w:lang w:val="ro-RO"/>
        </w:rPr>
        <w:t>)</w:t>
      </w:r>
      <w:r w:rsidRPr="00447686">
        <w:rPr>
          <w:rFonts w:eastAsia="Calibri" w:cstheme="minorHAnsi"/>
          <w:iCs/>
          <w:lang w:val="ro-RO"/>
        </w:rPr>
        <w:t xml:space="preserve">, </w:t>
      </w:r>
      <w:r w:rsidR="00844CD9">
        <w:rPr>
          <w:rFonts w:eastAsia="Calibri" w:cstheme="minorHAnsi"/>
          <w:iCs/>
          <w:lang w:val="ro-RO"/>
        </w:rPr>
        <w:t>cu reprezentanții Organizațiilor Societății Civile (</w:t>
      </w:r>
      <w:r w:rsidRPr="00447686">
        <w:rPr>
          <w:rFonts w:eastAsia="Calibri" w:cstheme="minorHAnsi"/>
          <w:iCs/>
          <w:lang w:val="ro-RO"/>
        </w:rPr>
        <w:t>OSC</w:t>
      </w:r>
      <w:r w:rsidR="00844CD9">
        <w:rPr>
          <w:rFonts w:eastAsia="Calibri" w:cstheme="minorHAnsi"/>
          <w:iCs/>
          <w:lang w:val="ro-RO"/>
        </w:rPr>
        <w:t>)</w:t>
      </w:r>
      <w:r w:rsidRPr="00447686">
        <w:rPr>
          <w:rFonts w:eastAsia="Calibri" w:cstheme="minorHAnsi"/>
          <w:iCs/>
          <w:lang w:val="ro-RO"/>
        </w:rPr>
        <w:t xml:space="preserve"> și Comisia parlamentară de profil a pachetelor de servicii integrate, a Regulamentelor și Standardelor de calitate pentru copiii cu dizabilități de vedere </w:t>
      </w:r>
    </w:p>
    <w:p w14:paraId="67E4FD42" w14:textId="77777777" w:rsidR="00447686" w:rsidRPr="00447686" w:rsidRDefault="00447686" w:rsidP="00447686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447686">
        <w:rPr>
          <w:rFonts w:eastAsia="Calibri" w:cstheme="minorHAnsi"/>
          <w:iCs/>
          <w:lang w:val="ro-RO"/>
        </w:rPr>
        <w:lastRenderedPageBreak/>
        <w:t>Introducerea recomandărilor recepționate în cadrul discuțiilor organizare și definitivarea versiunii finale a Pachetului de servicii elaborat</w:t>
      </w:r>
    </w:p>
    <w:p w14:paraId="77D76967" w14:textId="268CD09F" w:rsidR="006E4EF4" w:rsidRPr="00447686" w:rsidRDefault="00447686" w:rsidP="00CA584F">
      <w:pPr>
        <w:pStyle w:val="ListParagraph"/>
        <w:numPr>
          <w:ilvl w:val="0"/>
          <w:numId w:val="23"/>
        </w:numPr>
        <w:spacing w:before="240" w:after="0" w:line="240" w:lineRule="auto"/>
        <w:jc w:val="both"/>
        <w:rPr>
          <w:rFonts w:eastAsia="Calibri" w:cstheme="minorHAnsi"/>
          <w:iCs/>
          <w:lang w:val="ro-RO"/>
        </w:rPr>
      </w:pPr>
      <w:r w:rsidRPr="00447686">
        <w:rPr>
          <w:rFonts w:eastAsia="Calibri" w:cstheme="minorHAnsi"/>
          <w:iCs/>
          <w:lang w:val="ro-RO"/>
        </w:rPr>
        <w:t xml:space="preserve">Participarea la ședința de prezentare a versiunii finale a Pachetelor de servicii în cadrul </w:t>
      </w:r>
      <w:r>
        <w:rPr>
          <w:rFonts w:eastAsia="Calibri" w:cstheme="minorHAnsi"/>
          <w:iCs/>
          <w:lang w:val="ro-RO"/>
        </w:rPr>
        <w:t>Comisiei parlamentare de profil.</w:t>
      </w:r>
    </w:p>
    <w:p w14:paraId="7886849E" w14:textId="77777777" w:rsidR="002A46F4" w:rsidRDefault="002A46F4" w:rsidP="009B45F0">
      <w:pPr>
        <w:spacing w:after="0" w:line="240" w:lineRule="auto"/>
        <w:jc w:val="both"/>
        <w:rPr>
          <w:rFonts w:cstheme="minorHAnsi"/>
          <w:iCs/>
          <w:lang w:val="ro-RO"/>
        </w:rPr>
      </w:pPr>
    </w:p>
    <w:p w14:paraId="5B9A898C" w14:textId="77777777" w:rsidR="002A46F4" w:rsidRPr="00E1481B" w:rsidRDefault="002A46F4" w:rsidP="009B45F0">
      <w:pPr>
        <w:spacing w:after="0" w:line="240" w:lineRule="auto"/>
        <w:jc w:val="both"/>
        <w:rPr>
          <w:rFonts w:cstheme="minorHAnsi"/>
          <w:iCs/>
          <w:lang w:val="ro-RO"/>
        </w:rPr>
      </w:pPr>
    </w:p>
    <w:p w14:paraId="6839C116" w14:textId="77777777" w:rsidR="006E4EF4" w:rsidRPr="00E1481B" w:rsidRDefault="006E4EF4" w:rsidP="009B45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Cs/>
          <w:lang w:val="ro-RO"/>
        </w:rPr>
      </w:pPr>
      <w:r w:rsidRPr="00E1481B">
        <w:rPr>
          <w:rFonts w:cstheme="minorHAnsi"/>
          <w:b/>
          <w:iCs/>
          <w:lang w:val="ro-RO"/>
        </w:rPr>
        <w:t>LIVRABILELE: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59"/>
        <w:gridCol w:w="3094"/>
        <w:gridCol w:w="1417"/>
      </w:tblGrid>
      <w:tr w:rsidR="006E4EF4" w:rsidRPr="00E1481B" w14:paraId="76E4EDA6" w14:textId="77777777" w:rsidTr="0039455C">
        <w:tc>
          <w:tcPr>
            <w:tcW w:w="562" w:type="dxa"/>
            <w:vAlign w:val="center"/>
          </w:tcPr>
          <w:p w14:paraId="0AB161B5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Nr. r.</w:t>
            </w:r>
          </w:p>
        </w:tc>
        <w:tc>
          <w:tcPr>
            <w:tcW w:w="3544" w:type="dxa"/>
            <w:vAlign w:val="center"/>
          </w:tcPr>
          <w:p w14:paraId="51FE01C5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Sarcini</w:t>
            </w:r>
          </w:p>
        </w:tc>
        <w:tc>
          <w:tcPr>
            <w:tcW w:w="1159" w:type="dxa"/>
            <w:vAlign w:val="center"/>
          </w:tcPr>
          <w:p w14:paraId="1896B211" w14:textId="77777777" w:rsidR="006E4EF4" w:rsidRPr="00E1481B" w:rsidRDefault="006E4EF4" w:rsidP="0039455C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Zile de consultanță</w:t>
            </w:r>
          </w:p>
        </w:tc>
        <w:tc>
          <w:tcPr>
            <w:tcW w:w="3094" w:type="dxa"/>
            <w:vAlign w:val="center"/>
          </w:tcPr>
          <w:p w14:paraId="683A054C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Livrabile</w:t>
            </w:r>
          </w:p>
        </w:tc>
        <w:tc>
          <w:tcPr>
            <w:tcW w:w="1417" w:type="dxa"/>
            <w:vAlign w:val="center"/>
          </w:tcPr>
          <w:p w14:paraId="14EA2D9F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lang w:val="ro-RO"/>
              </w:rPr>
            </w:pPr>
            <w:r w:rsidRPr="00E1481B">
              <w:rPr>
                <w:rFonts w:cstheme="minorHAnsi"/>
                <w:b/>
                <w:lang w:val="ro-RO"/>
              </w:rPr>
              <w:t>Perioada</w:t>
            </w:r>
          </w:p>
        </w:tc>
      </w:tr>
      <w:tr w:rsidR="006E4EF4" w:rsidRPr="00E1481B" w14:paraId="5885F98D" w14:textId="77777777" w:rsidTr="0039455C">
        <w:tc>
          <w:tcPr>
            <w:tcW w:w="562" w:type="dxa"/>
            <w:vAlign w:val="center"/>
          </w:tcPr>
          <w:p w14:paraId="477DDEAF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42D4B046" w14:textId="11116964" w:rsidR="006E4EF4" w:rsidRPr="00E1481B" w:rsidRDefault="00EA6EF1" w:rsidP="009B45F0">
            <w:pPr>
              <w:pStyle w:val="ListParagraph"/>
              <w:numPr>
                <w:ilvl w:val="0"/>
                <w:numId w:val="25"/>
              </w:numPr>
              <w:ind w:left="308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A</w:t>
            </w:r>
            <w:r w:rsidR="006E4EF4" w:rsidRPr="00E1481B">
              <w:rPr>
                <w:rFonts w:cstheme="minorHAnsi"/>
                <w:bCs/>
                <w:lang w:val="ro-RO"/>
              </w:rPr>
              <w:t>naliza opțiunilor de încadrare a nevoilor copiilor cu dizabilități de vedere în servicii educaționale și non-educaționale destinate copiilor cu dizabilități de vedere pentru o dezvoltare complexă</w:t>
            </w:r>
          </w:p>
          <w:p w14:paraId="747B38F4" w14:textId="77777777" w:rsidR="006E4EF4" w:rsidRPr="00E1481B" w:rsidRDefault="006E4EF4" w:rsidP="009B45F0">
            <w:pPr>
              <w:pStyle w:val="ListParagraph"/>
              <w:ind w:left="308"/>
              <w:jc w:val="both"/>
              <w:rPr>
                <w:rFonts w:cstheme="minorHAnsi"/>
                <w:bCs/>
                <w:lang w:val="ro-RO"/>
              </w:rPr>
            </w:pPr>
          </w:p>
          <w:p w14:paraId="3644EC71" w14:textId="63C94E05" w:rsidR="006E4EF4" w:rsidRPr="00E1481B" w:rsidRDefault="00EA6EF1" w:rsidP="009B45F0">
            <w:pPr>
              <w:pStyle w:val="ListParagraph"/>
              <w:numPr>
                <w:ilvl w:val="0"/>
                <w:numId w:val="25"/>
              </w:numPr>
              <w:ind w:left="308"/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A</w:t>
            </w:r>
            <w:r w:rsidR="006E4EF4" w:rsidRPr="00E1481B">
              <w:rPr>
                <w:rFonts w:cstheme="minorHAnsi"/>
                <w:bCs/>
                <w:lang w:val="ro-RO"/>
              </w:rPr>
              <w:t>naliza mecanismelor de    asigurare a accesului la servicii de reabilitare și de educație incluzivă destinate copiilor cu dizabilități de vedere la toate vârstele (din IET, Învățământ general, IÎPT).</w:t>
            </w:r>
          </w:p>
        </w:tc>
        <w:tc>
          <w:tcPr>
            <w:tcW w:w="1159" w:type="dxa"/>
            <w:vAlign w:val="center"/>
          </w:tcPr>
          <w:p w14:paraId="0D2F7203" w14:textId="0EE3F4E5" w:rsidR="006E4EF4" w:rsidRPr="00E1481B" w:rsidRDefault="0001634D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5</w:t>
            </w:r>
          </w:p>
        </w:tc>
        <w:tc>
          <w:tcPr>
            <w:tcW w:w="3094" w:type="dxa"/>
          </w:tcPr>
          <w:p w14:paraId="70359116" w14:textId="77777777" w:rsidR="006E4EF4" w:rsidRPr="00E1481B" w:rsidRDefault="006E4EF4" w:rsidP="009E6189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Elaborarea listei opțiunilor de încadrare a nevoilor copiilor cu dizabilități de vedere în servicii educaționale și non-educaționale destinate copiilor cu dizabilități de vedere</w:t>
            </w:r>
          </w:p>
          <w:p w14:paraId="520BFB71" w14:textId="77777777" w:rsidR="006E4EF4" w:rsidRPr="00E1481B" w:rsidRDefault="006E4EF4" w:rsidP="009B45F0">
            <w:pPr>
              <w:jc w:val="both"/>
              <w:rPr>
                <w:rFonts w:cstheme="minorHAnsi"/>
                <w:bCs/>
                <w:lang w:val="ro-RO"/>
              </w:rPr>
            </w:pPr>
          </w:p>
          <w:p w14:paraId="30BA0108" w14:textId="77777777" w:rsidR="006E4EF4" w:rsidRPr="00E1481B" w:rsidRDefault="006E4EF4" w:rsidP="009E6189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Elaborarea listei serviciilor de reabilitare și de educație incluzivă a copiilor cu dizabilități de vedere la toate vârstele</w:t>
            </w:r>
          </w:p>
        </w:tc>
        <w:tc>
          <w:tcPr>
            <w:tcW w:w="1417" w:type="dxa"/>
            <w:vAlign w:val="center"/>
          </w:tcPr>
          <w:p w14:paraId="4F5C4753" w14:textId="77777777" w:rsidR="00046C93" w:rsidRPr="00E1481B" w:rsidRDefault="00046C93" w:rsidP="009B45F0">
            <w:pPr>
              <w:jc w:val="center"/>
              <w:rPr>
                <w:rFonts w:cstheme="minorHAnsi"/>
                <w:lang w:val="ro-RO"/>
              </w:rPr>
            </w:pPr>
          </w:p>
          <w:p w14:paraId="222926FA" w14:textId="77777777" w:rsidR="00046C93" w:rsidRPr="00E1481B" w:rsidRDefault="00046C93" w:rsidP="009B45F0">
            <w:pPr>
              <w:jc w:val="center"/>
              <w:rPr>
                <w:rFonts w:cstheme="minorHAnsi"/>
                <w:lang w:val="ro-RO"/>
              </w:rPr>
            </w:pPr>
          </w:p>
          <w:p w14:paraId="6AC667B8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15-30 iulie</w:t>
            </w:r>
          </w:p>
        </w:tc>
      </w:tr>
      <w:tr w:rsidR="006E4EF4" w:rsidRPr="00E1481B" w14:paraId="41497245" w14:textId="77777777" w:rsidTr="0039455C">
        <w:tc>
          <w:tcPr>
            <w:tcW w:w="562" w:type="dxa"/>
          </w:tcPr>
          <w:p w14:paraId="26C36BDE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  <w:vAlign w:val="center"/>
          </w:tcPr>
          <w:p w14:paraId="320DEEBA" w14:textId="1F5F3B76" w:rsidR="006E4EF4" w:rsidRPr="00E1481B" w:rsidRDefault="006E4EF4" w:rsidP="009B45F0">
            <w:pPr>
              <w:pStyle w:val="ListParagraph"/>
              <w:numPr>
                <w:ilvl w:val="0"/>
                <w:numId w:val="26"/>
              </w:numPr>
              <w:ind w:left="308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 xml:space="preserve">Revizuirea </w:t>
            </w:r>
            <w:r w:rsidR="00EA6EF1" w:rsidRPr="00E1481B">
              <w:rPr>
                <w:rFonts w:cstheme="minorHAnsi"/>
                <w:bCs/>
                <w:lang w:val="ro-RO"/>
              </w:rPr>
              <w:t>R</w:t>
            </w:r>
            <w:r w:rsidRPr="00E1481B">
              <w:rPr>
                <w:rFonts w:cstheme="minorHAnsi"/>
                <w:bCs/>
                <w:lang w:val="ro-RO"/>
              </w:rPr>
              <w:t xml:space="preserve">egulamentului și elaborarea </w:t>
            </w:r>
            <w:r w:rsidR="00EA6EF1" w:rsidRPr="00E1481B">
              <w:rPr>
                <w:rFonts w:cstheme="minorHAnsi"/>
                <w:bCs/>
                <w:lang w:val="ro-RO"/>
              </w:rPr>
              <w:t>S</w:t>
            </w:r>
            <w:r w:rsidRPr="00E1481B">
              <w:rPr>
                <w:rFonts w:cstheme="minorHAnsi"/>
                <w:bCs/>
                <w:lang w:val="ro-RO"/>
              </w:rPr>
              <w:t xml:space="preserve">tandardelor </w:t>
            </w:r>
            <w:r w:rsidRPr="00E1481B">
              <w:rPr>
                <w:rFonts w:eastAsia="Candara" w:cstheme="minorHAnsi"/>
                <w:lang w:val="ro-RO"/>
              </w:rPr>
              <w:t xml:space="preserve">de calitate pentru </w:t>
            </w:r>
            <w:r w:rsidRPr="00E1481B">
              <w:rPr>
                <w:rFonts w:cstheme="minorHAnsi"/>
                <w:bCs/>
                <w:lang w:val="ro-RO"/>
              </w:rPr>
              <w:t>psiholog.</w:t>
            </w:r>
          </w:p>
          <w:p w14:paraId="5B8C2F8F" w14:textId="77777777" w:rsidR="006E4EF4" w:rsidRPr="00E1481B" w:rsidRDefault="006E4EF4" w:rsidP="009B45F0">
            <w:pPr>
              <w:pStyle w:val="ListParagraph"/>
              <w:ind w:left="308"/>
              <w:rPr>
                <w:rFonts w:cstheme="minorHAnsi"/>
                <w:bCs/>
                <w:lang w:val="ro-RO"/>
              </w:rPr>
            </w:pPr>
          </w:p>
          <w:p w14:paraId="2C09608F" w14:textId="6FF50CC1" w:rsidR="006E4EF4" w:rsidRPr="00E1481B" w:rsidRDefault="006E4EF4" w:rsidP="009B45F0">
            <w:pPr>
              <w:pStyle w:val="ListParagraph"/>
              <w:numPr>
                <w:ilvl w:val="0"/>
                <w:numId w:val="26"/>
              </w:numPr>
              <w:ind w:left="308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 xml:space="preserve">Elaborarea </w:t>
            </w:r>
            <w:r w:rsidR="00EA6EF1" w:rsidRPr="00E1481B">
              <w:rPr>
                <w:rFonts w:cstheme="minorHAnsi"/>
                <w:bCs/>
                <w:lang w:val="ro-RO"/>
              </w:rPr>
              <w:t>R</w:t>
            </w:r>
            <w:r w:rsidRPr="00E1481B">
              <w:rPr>
                <w:rFonts w:cstheme="minorHAnsi"/>
                <w:bCs/>
                <w:lang w:val="ro-RO"/>
              </w:rPr>
              <w:t xml:space="preserve">egulamentului și </w:t>
            </w:r>
            <w:r w:rsidR="00EA6EF1" w:rsidRPr="00E1481B">
              <w:rPr>
                <w:rFonts w:cstheme="minorHAnsi"/>
                <w:bCs/>
                <w:lang w:val="ro-RO"/>
              </w:rPr>
              <w:t>S</w:t>
            </w:r>
            <w:r w:rsidRPr="00E1481B">
              <w:rPr>
                <w:rFonts w:cstheme="minorHAnsi"/>
                <w:bCs/>
                <w:lang w:val="ro-RO"/>
              </w:rPr>
              <w:t xml:space="preserve">tandardelor </w:t>
            </w:r>
            <w:r w:rsidRPr="00E1481B">
              <w:rPr>
                <w:rFonts w:eastAsia="Candara" w:cstheme="minorHAnsi"/>
                <w:lang w:val="ro-RO"/>
              </w:rPr>
              <w:t>de calitate pentru terapeutul comportamentalist.</w:t>
            </w:r>
          </w:p>
        </w:tc>
        <w:tc>
          <w:tcPr>
            <w:tcW w:w="1159" w:type="dxa"/>
            <w:vAlign w:val="center"/>
          </w:tcPr>
          <w:p w14:paraId="7ECA1F18" w14:textId="2B20DC9D" w:rsidR="006E4EF4" w:rsidRPr="002A46F4" w:rsidRDefault="00FC6EB8" w:rsidP="00580C51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2A46F4">
              <w:rPr>
                <w:rFonts w:cstheme="minorHAnsi"/>
                <w:b/>
                <w:bCs/>
                <w:lang w:val="ro-RO"/>
              </w:rPr>
              <w:t>2</w:t>
            </w:r>
            <w:r w:rsidR="00580C51" w:rsidRPr="002A46F4">
              <w:rPr>
                <w:rFonts w:cstheme="minorHAnsi"/>
                <w:b/>
                <w:bCs/>
                <w:lang w:val="ro-RO"/>
              </w:rPr>
              <w:t>5</w:t>
            </w:r>
          </w:p>
        </w:tc>
        <w:tc>
          <w:tcPr>
            <w:tcW w:w="3094" w:type="dxa"/>
          </w:tcPr>
          <w:p w14:paraId="2B17D10F" w14:textId="178C7A8F" w:rsidR="006E4EF4" w:rsidRPr="00E1481B" w:rsidRDefault="006E4EF4" w:rsidP="009E6189">
            <w:pPr>
              <w:pStyle w:val="ListParagraph"/>
              <w:numPr>
                <w:ilvl w:val="0"/>
                <w:numId w:val="27"/>
              </w:numPr>
              <w:ind w:left="292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Regulamentul pentru serviciile psihologului revizuit;</w:t>
            </w:r>
          </w:p>
          <w:p w14:paraId="4BBBF14F" w14:textId="6F3D239F" w:rsidR="006E4EF4" w:rsidRPr="00E1481B" w:rsidRDefault="006E4EF4" w:rsidP="009E6189">
            <w:pPr>
              <w:pStyle w:val="ListParagraph"/>
              <w:numPr>
                <w:ilvl w:val="0"/>
                <w:numId w:val="27"/>
              </w:numPr>
              <w:ind w:left="292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Regulamentul pentru terapeutul comportamentalist elaborat;</w:t>
            </w:r>
          </w:p>
          <w:p w14:paraId="04253AC5" w14:textId="2A8C9BAE" w:rsidR="006E4EF4" w:rsidRPr="00E1481B" w:rsidRDefault="006E4EF4" w:rsidP="009E6189">
            <w:pPr>
              <w:pStyle w:val="ListParagraph"/>
              <w:numPr>
                <w:ilvl w:val="0"/>
                <w:numId w:val="27"/>
              </w:numPr>
              <w:ind w:left="292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Standardele de calitate pentru serviciile psihologului și a terapeutului comportamentalist elaborate</w:t>
            </w:r>
          </w:p>
        </w:tc>
        <w:tc>
          <w:tcPr>
            <w:tcW w:w="1417" w:type="dxa"/>
            <w:vAlign w:val="center"/>
          </w:tcPr>
          <w:p w14:paraId="234C4D97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15 august-30 septembrie</w:t>
            </w:r>
          </w:p>
        </w:tc>
      </w:tr>
      <w:tr w:rsidR="006E4EF4" w:rsidRPr="00E1481B" w14:paraId="7938FB87" w14:textId="77777777" w:rsidTr="0039455C">
        <w:tc>
          <w:tcPr>
            <w:tcW w:w="562" w:type="dxa"/>
          </w:tcPr>
          <w:p w14:paraId="39B1A7CB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6F7EF1B5" w14:textId="58439043" w:rsidR="006E4EF4" w:rsidRPr="00E1481B" w:rsidRDefault="006E4EF4" w:rsidP="0039455C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 xml:space="preserve">Consultarea Regulamentelor și Standardelor cu specialiștii </w:t>
            </w:r>
            <w:r w:rsidR="0039455C">
              <w:rPr>
                <w:rFonts w:cstheme="minorHAnsi"/>
                <w:lang w:val="ro-RO"/>
              </w:rPr>
              <w:t>ș</w:t>
            </w:r>
            <w:r w:rsidRPr="00E1481B">
              <w:rPr>
                <w:rFonts w:cstheme="minorHAnsi"/>
                <w:lang w:val="ro-RO"/>
              </w:rPr>
              <w:t>i decidenții din domeniu (CRAP și MEC)</w:t>
            </w:r>
          </w:p>
        </w:tc>
        <w:tc>
          <w:tcPr>
            <w:tcW w:w="1159" w:type="dxa"/>
            <w:vAlign w:val="center"/>
          </w:tcPr>
          <w:p w14:paraId="740B9A39" w14:textId="27BC7899" w:rsidR="006E4EF4" w:rsidRPr="00E1481B" w:rsidRDefault="0039455C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2</w:t>
            </w:r>
          </w:p>
        </w:tc>
        <w:tc>
          <w:tcPr>
            <w:tcW w:w="3094" w:type="dxa"/>
            <w:vAlign w:val="center"/>
          </w:tcPr>
          <w:p w14:paraId="7C286514" w14:textId="6404E330" w:rsidR="006E4EF4" w:rsidRPr="00E1481B" w:rsidRDefault="006E4EF4" w:rsidP="009B45F0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Regulamentele și standardele de calitate consultate cu specialiștii din domeniu</w:t>
            </w:r>
          </w:p>
        </w:tc>
        <w:tc>
          <w:tcPr>
            <w:tcW w:w="1417" w:type="dxa"/>
            <w:vAlign w:val="center"/>
          </w:tcPr>
          <w:p w14:paraId="34BAB185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1-30 octombrie</w:t>
            </w:r>
          </w:p>
        </w:tc>
      </w:tr>
      <w:tr w:rsidR="006E4EF4" w:rsidRPr="00E1481B" w14:paraId="53A5E454" w14:textId="77777777" w:rsidTr="0039455C">
        <w:tc>
          <w:tcPr>
            <w:tcW w:w="562" w:type="dxa"/>
          </w:tcPr>
          <w:p w14:paraId="1A165D6F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  <w:vAlign w:val="center"/>
          </w:tcPr>
          <w:p w14:paraId="670B3AAC" w14:textId="4E8C1591" w:rsidR="006E4EF4" w:rsidRPr="00E1481B" w:rsidRDefault="006E4EF4" w:rsidP="009E6189">
            <w:pPr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Revizuirea și completarea Regulamentelor și Standardelor cu recomandările specialiștilor</w:t>
            </w:r>
            <w:r w:rsidR="00E1481B">
              <w:rPr>
                <w:rFonts w:cstheme="minorHAnsi"/>
                <w:lang w:val="ro-RO"/>
              </w:rPr>
              <w:t xml:space="preserve"> (CRAP</w:t>
            </w:r>
            <w:r w:rsidR="009E6189">
              <w:rPr>
                <w:rFonts w:cstheme="minorHAnsi"/>
                <w:lang w:val="ro-RO"/>
              </w:rPr>
              <w:t xml:space="preserve"> ș</w:t>
            </w:r>
            <w:r w:rsidR="00E1481B">
              <w:rPr>
                <w:rFonts w:cstheme="minorHAnsi"/>
                <w:lang w:val="ro-RO"/>
              </w:rPr>
              <w:t>i MEC)</w:t>
            </w:r>
          </w:p>
        </w:tc>
        <w:tc>
          <w:tcPr>
            <w:tcW w:w="1159" w:type="dxa"/>
            <w:vAlign w:val="center"/>
          </w:tcPr>
          <w:p w14:paraId="34D6C009" w14:textId="3302415E" w:rsidR="006E4EF4" w:rsidRPr="00E1481B" w:rsidRDefault="0039455C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5</w:t>
            </w:r>
          </w:p>
        </w:tc>
        <w:tc>
          <w:tcPr>
            <w:tcW w:w="3094" w:type="dxa"/>
            <w:vAlign w:val="center"/>
          </w:tcPr>
          <w:p w14:paraId="2D91F429" w14:textId="77777777" w:rsidR="006E4EF4" w:rsidRPr="00E1481B" w:rsidRDefault="006E4EF4" w:rsidP="009B45F0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Regulamentele și standardele de calitate pentru psiholog și terapeut comportamentalist sunt ajustate conform sugestiilor specialiștilor</w:t>
            </w:r>
          </w:p>
        </w:tc>
        <w:tc>
          <w:tcPr>
            <w:tcW w:w="1417" w:type="dxa"/>
            <w:vAlign w:val="center"/>
          </w:tcPr>
          <w:p w14:paraId="53508908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1-20 noiembrie</w:t>
            </w:r>
          </w:p>
        </w:tc>
      </w:tr>
      <w:tr w:rsidR="006E4EF4" w:rsidRPr="00E1481B" w14:paraId="79C4DA33" w14:textId="77777777" w:rsidTr="0039455C">
        <w:tc>
          <w:tcPr>
            <w:tcW w:w="562" w:type="dxa"/>
          </w:tcPr>
          <w:p w14:paraId="1E353DFD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7B97D3B8" w14:textId="40D26DC1" w:rsidR="006E4EF4" w:rsidRPr="00E1481B" w:rsidRDefault="006E4EF4" w:rsidP="009B45F0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Elaborarea Pachetelor de servicii integrate pentru toate nivel</w:t>
            </w:r>
            <w:r w:rsidR="002A28D3" w:rsidRPr="00E1481B">
              <w:rPr>
                <w:rFonts w:cstheme="minorHAnsi"/>
                <w:lang w:val="ro-RO"/>
              </w:rPr>
              <w:t>e</w:t>
            </w:r>
            <w:r w:rsidRPr="00E1481B">
              <w:rPr>
                <w:rFonts w:cstheme="minorHAnsi"/>
                <w:lang w:val="ro-RO"/>
              </w:rPr>
              <w:t xml:space="preserve">le de învățământ (IET, </w:t>
            </w:r>
            <w:r w:rsidR="002A28D3" w:rsidRPr="00E1481B">
              <w:rPr>
                <w:rFonts w:cstheme="minorHAnsi"/>
                <w:lang w:val="ro-RO"/>
              </w:rPr>
              <w:t>î</w:t>
            </w:r>
            <w:r w:rsidRPr="00E1481B">
              <w:rPr>
                <w:rFonts w:cstheme="minorHAnsi"/>
                <w:lang w:val="ro-RO"/>
              </w:rPr>
              <w:t xml:space="preserve">nvățământ general, IÎPT) pentru copiii cu </w:t>
            </w:r>
            <w:r w:rsidRPr="00E1481B">
              <w:rPr>
                <w:rFonts w:cstheme="minorHAnsi"/>
                <w:b/>
                <w:lang w:val="ro-RO"/>
              </w:rPr>
              <w:t>dizabilități de vedere</w:t>
            </w:r>
            <w:r w:rsidRPr="00E1481B">
              <w:rPr>
                <w:rFonts w:cstheme="minorHAnsi"/>
                <w:lang w:val="ro-RO"/>
              </w:rPr>
              <w:t>, pe nivele de severitate</w:t>
            </w:r>
          </w:p>
        </w:tc>
        <w:tc>
          <w:tcPr>
            <w:tcW w:w="1159" w:type="dxa"/>
            <w:vAlign w:val="center"/>
          </w:tcPr>
          <w:p w14:paraId="0AA23E9F" w14:textId="55668BED" w:rsidR="006E4EF4" w:rsidRPr="00E1481B" w:rsidRDefault="00D549AA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25</w:t>
            </w:r>
          </w:p>
        </w:tc>
        <w:tc>
          <w:tcPr>
            <w:tcW w:w="3094" w:type="dxa"/>
            <w:vAlign w:val="center"/>
          </w:tcPr>
          <w:p w14:paraId="0D490825" w14:textId="77777777" w:rsidR="006E4EF4" w:rsidRPr="00E1481B" w:rsidRDefault="006E4EF4" w:rsidP="009B45F0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3 pachete de servicii integrate pentru persoanele cu dizabilități de vedere sunt dezvoltate</w:t>
            </w:r>
          </w:p>
        </w:tc>
        <w:tc>
          <w:tcPr>
            <w:tcW w:w="1417" w:type="dxa"/>
            <w:vAlign w:val="center"/>
          </w:tcPr>
          <w:p w14:paraId="45CA37A0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1-24 decembrie</w:t>
            </w:r>
          </w:p>
        </w:tc>
      </w:tr>
      <w:tr w:rsidR="006E4EF4" w:rsidRPr="00E1481B" w14:paraId="70AF8588" w14:textId="77777777" w:rsidTr="0039455C">
        <w:tc>
          <w:tcPr>
            <w:tcW w:w="562" w:type="dxa"/>
          </w:tcPr>
          <w:p w14:paraId="0FF3D802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  <w:vAlign w:val="center"/>
          </w:tcPr>
          <w:p w14:paraId="18B27369" w14:textId="77777777" w:rsidR="006E4EF4" w:rsidRPr="00E1481B" w:rsidRDefault="006E4EF4" w:rsidP="009B45F0">
            <w:pPr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 xml:space="preserve">Încadrarea mecanismului de </w:t>
            </w:r>
            <w:r w:rsidRPr="00E1481B">
              <w:rPr>
                <w:rFonts w:cstheme="minorHAnsi"/>
                <w:spacing w:val="-45"/>
                <w:lang w:val="ro-RO"/>
              </w:rPr>
              <w:t xml:space="preserve">   </w:t>
            </w:r>
            <w:r w:rsidRPr="00E1481B">
              <w:rPr>
                <w:rFonts w:cstheme="minorHAnsi"/>
                <w:lang w:val="ro-RO"/>
              </w:rPr>
              <w:t>asigurare a accesului la</w:t>
            </w:r>
            <w:r w:rsidRPr="00E1481B">
              <w:rPr>
                <w:rFonts w:cstheme="minorHAnsi"/>
                <w:spacing w:val="1"/>
                <w:lang w:val="ro-RO"/>
              </w:rPr>
              <w:t xml:space="preserve"> servicii </w:t>
            </w:r>
            <w:proofErr w:type="spellStart"/>
            <w:r w:rsidRPr="00E1481B">
              <w:rPr>
                <w:rFonts w:cstheme="minorHAnsi"/>
                <w:spacing w:val="1"/>
                <w:lang w:val="ro-RO"/>
              </w:rPr>
              <w:t>medico</w:t>
            </w:r>
            <w:proofErr w:type="spellEnd"/>
            <w:r w:rsidRPr="00E1481B">
              <w:rPr>
                <w:rFonts w:cstheme="minorHAnsi"/>
                <w:spacing w:val="1"/>
                <w:lang w:val="ro-RO"/>
              </w:rPr>
              <w:t xml:space="preserve">-sociale </w:t>
            </w:r>
            <w:r w:rsidRPr="00E1481B">
              <w:rPr>
                <w:rFonts w:cstheme="minorHAnsi"/>
                <w:lang w:val="ro-RO"/>
              </w:rPr>
              <w:t>pentru copiii cu dizabilități de vedere și cooperarea acestora cu serviciile de educație incluzivă</w:t>
            </w:r>
          </w:p>
        </w:tc>
        <w:tc>
          <w:tcPr>
            <w:tcW w:w="1159" w:type="dxa"/>
            <w:vAlign w:val="center"/>
          </w:tcPr>
          <w:p w14:paraId="11023CD8" w14:textId="56E5EC20" w:rsidR="006E4EF4" w:rsidRPr="00E1481B" w:rsidRDefault="00CF7C5C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2</w:t>
            </w:r>
          </w:p>
        </w:tc>
        <w:tc>
          <w:tcPr>
            <w:tcW w:w="3094" w:type="dxa"/>
            <w:vAlign w:val="center"/>
          </w:tcPr>
          <w:p w14:paraId="1DE4D8B4" w14:textId="77AE30A2" w:rsidR="006E4EF4" w:rsidRPr="00E1481B" w:rsidRDefault="006E4EF4" w:rsidP="009E6189">
            <w:pPr>
              <w:jc w:val="both"/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Mecanismului de asigurare a accesului la</w:t>
            </w:r>
            <w:r w:rsidRPr="00E1481B">
              <w:rPr>
                <w:rFonts w:cstheme="minorHAnsi"/>
                <w:spacing w:val="1"/>
                <w:lang w:val="ro-RO"/>
              </w:rPr>
              <w:t xml:space="preserve"> servicii </w:t>
            </w:r>
            <w:proofErr w:type="spellStart"/>
            <w:r w:rsidRPr="00E1481B">
              <w:rPr>
                <w:rFonts w:cstheme="minorHAnsi"/>
                <w:spacing w:val="1"/>
                <w:lang w:val="ro-RO"/>
              </w:rPr>
              <w:t>medico</w:t>
            </w:r>
            <w:proofErr w:type="spellEnd"/>
            <w:r w:rsidRPr="00E1481B">
              <w:rPr>
                <w:rFonts w:cstheme="minorHAnsi"/>
                <w:spacing w:val="1"/>
                <w:lang w:val="ro-RO"/>
              </w:rPr>
              <w:t xml:space="preserve">-sociale </w:t>
            </w:r>
            <w:r w:rsidRPr="00E1481B">
              <w:rPr>
                <w:rFonts w:cstheme="minorHAnsi"/>
                <w:lang w:val="ro-RO"/>
              </w:rPr>
              <w:t xml:space="preserve">pentru copiii cu dizabilități de vedere încadrat și </w:t>
            </w:r>
            <w:r w:rsidR="002A28D3" w:rsidRPr="00E1481B">
              <w:rPr>
                <w:rFonts w:cstheme="minorHAnsi"/>
                <w:lang w:val="ro-RO"/>
              </w:rPr>
              <w:t xml:space="preserve">coordonat </w:t>
            </w:r>
            <w:r w:rsidRPr="00E1481B">
              <w:rPr>
                <w:rFonts w:cstheme="minorHAnsi"/>
                <w:lang w:val="ro-RO"/>
              </w:rPr>
              <w:t>cu serviciile de educație incluzivă</w:t>
            </w:r>
          </w:p>
        </w:tc>
        <w:tc>
          <w:tcPr>
            <w:tcW w:w="1417" w:type="dxa"/>
            <w:vAlign w:val="center"/>
          </w:tcPr>
          <w:p w14:paraId="6F5A27A3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1-24 decembrie</w:t>
            </w:r>
          </w:p>
        </w:tc>
      </w:tr>
      <w:tr w:rsidR="006E4EF4" w:rsidRPr="00E1481B" w14:paraId="7300CE0B" w14:textId="77777777" w:rsidTr="0039455C">
        <w:tc>
          <w:tcPr>
            <w:tcW w:w="562" w:type="dxa"/>
          </w:tcPr>
          <w:p w14:paraId="18A2B336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34C1DB63" w14:textId="3A791C9F" w:rsidR="006E4EF4" w:rsidRPr="00E1481B" w:rsidRDefault="006E4EF4" w:rsidP="0039455C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 xml:space="preserve">Organizarea ședințelor de consultare a pachetelor dezvoltate cu specialistul </w:t>
            </w:r>
            <w:r w:rsidR="002A28D3" w:rsidRPr="00E1481B">
              <w:rPr>
                <w:rFonts w:cstheme="minorHAnsi"/>
                <w:lang w:val="ro-RO"/>
              </w:rPr>
              <w:t xml:space="preserve">în domeniul </w:t>
            </w:r>
            <w:r w:rsidRPr="00E1481B">
              <w:rPr>
                <w:rFonts w:cstheme="minorHAnsi"/>
                <w:lang w:val="ro-RO"/>
              </w:rPr>
              <w:t>finanțe</w:t>
            </w:r>
          </w:p>
        </w:tc>
        <w:tc>
          <w:tcPr>
            <w:tcW w:w="1159" w:type="dxa"/>
            <w:vAlign w:val="center"/>
          </w:tcPr>
          <w:p w14:paraId="0C0A245C" w14:textId="534BC418" w:rsidR="006E4EF4" w:rsidRPr="00E1481B" w:rsidRDefault="0039455C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1</w:t>
            </w:r>
          </w:p>
        </w:tc>
        <w:tc>
          <w:tcPr>
            <w:tcW w:w="3094" w:type="dxa"/>
            <w:vAlign w:val="center"/>
          </w:tcPr>
          <w:p w14:paraId="7C218428" w14:textId="63D906B2" w:rsidR="006E4EF4" w:rsidRPr="00E1481B" w:rsidRDefault="006E4EF4" w:rsidP="009B45F0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bCs/>
                <w:lang w:val="ro-RO"/>
              </w:rPr>
              <w:t>Cel puțin 2 ședințe cu expertul pe finanțe realizate</w:t>
            </w:r>
          </w:p>
        </w:tc>
        <w:tc>
          <w:tcPr>
            <w:tcW w:w="1417" w:type="dxa"/>
            <w:vAlign w:val="center"/>
          </w:tcPr>
          <w:p w14:paraId="2CD7EF37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Ianuarie 2023</w:t>
            </w:r>
          </w:p>
        </w:tc>
      </w:tr>
      <w:tr w:rsidR="006E4EF4" w:rsidRPr="00E1481B" w14:paraId="0728AE0C" w14:textId="77777777" w:rsidTr="00CF7C5C">
        <w:tc>
          <w:tcPr>
            <w:tcW w:w="562" w:type="dxa"/>
          </w:tcPr>
          <w:p w14:paraId="00ED7DA0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  <w:vAlign w:val="center"/>
          </w:tcPr>
          <w:p w14:paraId="31F91FE5" w14:textId="256A9591" w:rsidR="006E4EF4" w:rsidRPr="00E1481B" w:rsidRDefault="006E4EF4" w:rsidP="00665CD2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Consultar</w:t>
            </w:r>
            <w:r w:rsidR="0039455C">
              <w:rPr>
                <w:rFonts w:cstheme="minorHAnsi"/>
                <w:lang w:val="ro-RO"/>
              </w:rPr>
              <w:t xml:space="preserve">ea cu specialiștii SAP, OLSDI, </w:t>
            </w:r>
            <w:r w:rsidRPr="00E1481B">
              <w:rPr>
                <w:rFonts w:cstheme="minorHAnsi"/>
                <w:lang w:val="ro-RO"/>
              </w:rPr>
              <w:t xml:space="preserve">OSC </w:t>
            </w:r>
            <w:r w:rsidR="00B9252B">
              <w:rPr>
                <w:rFonts w:cstheme="minorHAnsi"/>
                <w:lang w:val="ro-RO"/>
              </w:rPr>
              <w:t xml:space="preserve">și </w:t>
            </w:r>
            <w:r w:rsidR="00B9252B" w:rsidRPr="00E1481B">
              <w:rPr>
                <w:rFonts w:cstheme="minorHAnsi"/>
                <w:lang w:val="ro-RO"/>
              </w:rPr>
              <w:t>Comisi</w:t>
            </w:r>
            <w:r w:rsidR="00B9252B">
              <w:rPr>
                <w:rFonts w:cstheme="minorHAnsi"/>
                <w:lang w:val="ro-RO"/>
              </w:rPr>
              <w:t>a</w:t>
            </w:r>
            <w:r w:rsidR="00B9252B" w:rsidRPr="00E1481B">
              <w:rPr>
                <w:rFonts w:cstheme="minorHAnsi"/>
                <w:lang w:val="ro-RO"/>
              </w:rPr>
              <w:t xml:space="preserve"> parlamentar</w:t>
            </w:r>
            <w:r w:rsidR="00B9252B">
              <w:rPr>
                <w:rFonts w:cstheme="minorHAnsi"/>
                <w:lang w:val="ro-RO"/>
              </w:rPr>
              <w:t xml:space="preserve">ă de profil </w:t>
            </w:r>
            <w:r w:rsidRPr="00E1481B">
              <w:rPr>
                <w:rFonts w:cstheme="minorHAnsi"/>
                <w:lang w:val="ro-RO"/>
              </w:rPr>
              <w:t xml:space="preserve">a pachetelor de servicii integrate, a </w:t>
            </w:r>
            <w:r w:rsidR="002A28D3" w:rsidRPr="00E1481B">
              <w:rPr>
                <w:rFonts w:cstheme="minorHAnsi"/>
                <w:lang w:val="ro-RO"/>
              </w:rPr>
              <w:t>R</w:t>
            </w:r>
            <w:r w:rsidRPr="00E1481B">
              <w:rPr>
                <w:rFonts w:cstheme="minorHAnsi"/>
                <w:lang w:val="ro-RO"/>
              </w:rPr>
              <w:t xml:space="preserve">egulamentelor </w:t>
            </w:r>
            <w:r w:rsidR="00B9252B">
              <w:rPr>
                <w:rFonts w:cstheme="minorHAnsi"/>
                <w:lang w:val="ro-RO"/>
              </w:rPr>
              <w:t>ș</w:t>
            </w:r>
            <w:r w:rsidRPr="00E1481B">
              <w:rPr>
                <w:rFonts w:cstheme="minorHAnsi"/>
                <w:lang w:val="ro-RO"/>
              </w:rPr>
              <w:t xml:space="preserve">i </w:t>
            </w:r>
            <w:r w:rsidR="002A28D3" w:rsidRPr="00E1481B">
              <w:rPr>
                <w:rFonts w:cstheme="minorHAnsi"/>
                <w:lang w:val="ro-RO"/>
              </w:rPr>
              <w:t>S</w:t>
            </w:r>
            <w:r w:rsidRPr="00E1481B">
              <w:rPr>
                <w:rFonts w:cstheme="minorHAnsi"/>
                <w:lang w:val="ro-RO"/>
              </w:rPr>
              <w:t>tandardelor de calitate pentru copiii cu dizabilități de vedere</w:t>
            </w:r>
            <w:r w:rsidR="00B9252B">
              <w:rPr>
                <w:rFonts w:cstheme="minorHAnsi"/>
                <w:lang w:val="ro-RO"/>
              </w:rPr>
              <w:t xml:space="preserve"> </w:t>
            </w:r>
          </w:p>
        </w:tc>
        <w:tc>
          <w:tcPr>
            <w:tcW w:w="1159" w:type="dxa"/>
            <w:vAlign w:val="center"/>
          </w:tcPr>
          <w:p w14:paraId="3D495395" w14:textId="17B97815" w:rsidR="006E4EF4" w:rsidRPr="00E1481B" w:rsidRDefault="00B82241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4</w:t>
            </w:r>
          </w:p>
        </w:tc>
        <w:tc>
          <w:tcPr>
            <w:tcW w:w="3094" w:type="dxa"/>
            <w:vAlign w:val="center"/>
          </w:tcPr>
          <w:p w14:paraId="411853BB" w14:textId="6A14685A" w:rsidR="00651DB1" w:rsidRPr="006058F2" w:rsidRDefault="00651DB1" w:rsidP="00CF7C5C">
            <w:p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Patru mese rotunde </w:t>
            </w:r>
            <w:r w:rsidR="006058F2">
              <w:rPr>
                <w:rFonts w:cstheme="minorHAnsi"/>
                <w:lang w:val="ro-RO"/>
              </w:rPr>
              <w:t xml:space="preserve">de consultare </w:t>
            </w:r>
            <w:r w:rsidR="006058F2" w:rsidRPr="00E1481B">
              <w:rPr>
                <w:rFonts w:cstheme="minorHAnsi"/>
                <w:lang w:val="ro-RO"/>
              </w:rPr>
              <w:t xml:space="preserve">a pachetelor de servicii integrate, a Regulamentelor </w:t>
            </w:r>
            <w:r w:rsidR="006058F2">
              <w:rPr>
                <w:rFonts w:cstheme="minorHAnsi"/>
                <w:lang w:val="ro-RO"/>
              </w:rPr>
              <w:t>ș</w:t>
            </w:r>
            <w:r w:rsidR="006058F2" w:rsidRPr="00E1481B">
              <w:rPr>
                <w:rFonts w:cstheme="minorHAnsi"/>
                <w:lang w:val="ro-RO"/>
              </w:rPr>
              <w:t>i Standardelor de calitate pentru copiii cu dizabilități de vedere</w:t>
            </w:r>
            <w:r w:rsidR="006058F2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organizate</w:t>
            </w:r>
          </w:p>
        </w:tc>
        <w:tc>
          <w:tcPr>
            <w:tcW w:w="1417" w:type="dxa"/>
            <w:vAlign w:val="center"/>
          </w:tcPr>
          <w:p w14:paraId="5D5111EF" w14:textId="77777777" w:rsidR="006E4EF4" w:rsidRPr="00E1481B" w:rsidRDefault="006E4EF4" w:rsidP="009B45F0">
            <w:pPr>
              <w:jc w:val="center"/>
              <w:rPr>
                <w:rFonts w:cstheme="minorHAnsi"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Martie</w:t>
            </w:r>
          </w:p>
          <w:p w14:paraId="0A29F856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2023</w:t>
            </w:r>
          </w:p>
        </w:tc>
      </w:tr>
      <w:tr w:rsidR="00CF7C5C" w:rsidRPr="00E1481B" w14:paraId="194E684C" w14:textId="77777777" w:rsidTr="00236DC9">
        <w:tc>
          <w:tcPr>
            <w:tcW w:w="562" w:type="dxa"/>
          </w:tcPr>
          <w:p w14:paraId="3C2BC42C" w14:textId="77777777" w:rsidR="00CF7C5C" w:rsidRPr="00E1481B" w:rsidRDefault="00CF7C5C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  <w:vAlign w:val="center"/>
          </w:tcPr>
          <w:p w14:paraId="7611A1D9" w14:textId="27E55D78" w:rsidR="00CF7C5C" w:rsidRPr="00E1481B" w:rsidRDefault="00CF7C5C" w:rsidP="00236DC9">
            <w:pPr>
              <w:jc w:val="both"/>
              <w:rPr>
                <w:rFonts w:cstheme="minorHAnsi"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Introducerea recomandărilor recepționate în cadrul discuțiilor organizare și definitivarea versiunii finale a Pachetului de servicii elaborat</w:t>
            </w:r>
          </w:p>
        </w:tc>
        <w:tc>
          <w:tcPr>
            <w:tcW w:w="1159" w:type="dxa"/>
            <w:vAlign w:val="center"/>
          </w:tcPr>
          <w:p w14:paraId="1D7B082E" w14:textId="1FD506B3" w:rsidR="00CF7C5C" w:rsidRDefault="00D549AA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3</w:t>
            </w:r>
          </w:p>
        </w:tc>
        <w:tc>
          <w:tcPr>
            <w:tcW w:w="3094" w:type="dxa"/>
            <w:vAlign w:val="center"/>
          </w:tcPr>
          <w:p w14:paraId="13F59A6A" w14:textId="0972DA11" w:rsidR="00CF7C5C" w:rsidRPr="00E1481B" w:rsidRDefault="000A2316" w:rsidP="000A2316">
            <w:pPr>
              <w:rPr>
                <w:rFonts w:cstheme="minorHAnsi"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Pachetele de servicii integrate, Regulamentele și Standardele de calitate pentru persoanele cu dizabilități de vedere</w:t>
            </w:r>
            <w:r>
              <w:rPr>
                <w:rFonts w:cstheme="minorHAnsi"/>
                <w:lang w:val="ro-RO"/>
              </w:rPr>
              <w:t xml:space="preserve"> elaborate în versiune finală</w:t>
            </w:r>
          </w:p>
        </w:tc>
        <w:tc>
          <w:tcPr>
            <w:tcW w:w="1417" w:type="dxa"/>
            <w:vAlign w:val="center"/>
          </w:tcPr>
          <w:p w14:paraId="382333BB" w14:textId="77777777" w:rsidR="00CF7C5C" w:rsidRPr="00E1481B" w:rsidRDefault="00CF7C5C" w:rsidP="00CF7C5C">
            <w:pPr>
              <w:jc w:val="center"/>
              <w:rPr>
                <w:rFonts w:cstheme="minorHAnsi"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Martie</w:t>
            </w:r>
          </w:p>
          <w:p w14:paraId="503195D8" w14:textId="39846619" w:rsidR="00CF7C5C" w:rsidRPr="00E1481B" w:rsidRDefault="00CF7C5C" w:rsidP="00CF7C5C">
            <w:pPr>
              <w:jc w:val="center"/>
              <w:rPr>
                <w:rFonts w:cstheme="minorHAnsi"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2023</w:t>
            </w:r>
          </w:p>
        </w:tc>
      </w:tr>
      <w:tr w:rsidR="006E4EF4" w:rsidRPr="00E1481B" w14:paraId="2EA43631" w14:textId="77777777" w:rsidTr="0039455C">
        <w:tc>
          <w:tcPr>
            <w:tcW w:w="562" w:type="dxa"/>
          </w:tcPr>
          <w:p w14:paraId="3EA9BBAE" w14:textId="77777777" w:rsidR="006E4EF4" w:rsidRPr="00E1481B" w:rsidRDefault="006E4EF4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1091DA54" w14:textId="0DB8B53A" w:rsidR="006E4EF4" w:rsidRPr="00E1481B" w:rsidRDefault="00432FB2" w:rsidP="00432FB2">
            <w:pPr>
              <w:jc w:val="both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Participarea la ședința de prezentare a versiunii finale a </w:t>
            </w:r>
            <w:r w:rsidR="006E4EF4" w:rsidRPr="00E1481B">
              <w:rPr>
                <w:rFonts w:cstheme="minorHAnsi"/>
                <w:lang w:val="ro-RO"/>
              </w:rPr>
              <w:t xml:space="preserve">Pachetelor de servicii în cadrul </w:t>
            </w:r>
            <w:r w:rsidR="002A28D3" w:rsidRPr="00E1481B">
              <w:rPr>
                <w:rFonts w:cstheme="minorHAnsi"/>
                <w:lang w:val="ro-RO"/>
              </w:rPr>
              <w:t>C</w:t>
            </w:r>
            <w:r w:rsidR="006E4EF4" w:rsidRPr="00E1481B">
              <w:rPr>
                <w:rFonts w:cstheme="minorHAnsi"/>
                <w:lang w:val="ro-RO"/>
              </w:rPr>
              <w:t>omisiei parlamentare</w:t>
            </w:r>
            <w:r w:rsidR="002A28D3" w:rsidRPr="00E1481B">
              <w:rPr>
                <w:rFonts w:cstheme="minorHAnsi"/>
                <w:lang w:val="ro-RO"/>
              </w:rPr>
              <w:t xml:space="preserve"> de profil </w:t>
            </w:r>
          </w:p>
        </w:tc>
        <w:tc>
          <w:tcPr>
            <w:tcW w:w="1159" w:type="dxa"/>
            <w:vAlign w:val="center"/>
          </w:tcPr>
          <w:p w14:paraId="4671935E" w14:textId="1EE10B3E" w:rsidR="006E4EF4" w:rsidRPr="00E1481B" w:rsidRDefault="0039455C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1</w:t>
            </w:r>
          </w:p>
        </w:tc>
        <w:tc>
          <w:tcPr>
            <w:tcW w:w="3094" w:type="dxa"/>
            <w:vAlign w:val="center"/>
          </w:tcPr>
          <w:p w14:paraId="0E2F6899" w14:textId="20FA7F61" w:rsidR="006E4EF4" w:rsidRPr="00E1481B" w:rsidRDefault="00432FB2" w:rsidP="00432FB2">
            <w:pPr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Versiunea</w:t>
            </w:r>
            <w:r w:rsidR="000A2316">
              <w:rPr>
                <w:rFonts w:cstheme="minorHAnsi"/>
                <w:bCs/>
                <w:lang w:val="ro-RO"/>
              </w:rPr>
              <w:t xml:space="preserve"> final</w:t>
            </w:r>
            <w:r>
              <w:rPr>
                <w:rFonts w:cstheme="minorHAnsi"/>
                <w:bCs/>
                <w:lang w:val="ro-RO"/>
              </w:rPr>
              <w:t>ă</w:t>
            </w:r>
            <w:r w:rsidR="000A2316">
              <w:rPr>
                <w:rFonts w:cstheme="minorHAnsi"/>
                <w:bCs/>
                <w:lang w:val="ro-RO"/>
              </w:rPr>
              <w:t xml:space="preserve"> a</w:t>
            </w:r>
            <w:r>
              <w:rPr>
                <w:rFonts w:cstheme="minorHAnsi"/>
                <w:bCs/>
                <w:lang w:val="ro-RO"/>
              </w:rPr>
              <w:t xml:space="preserve"> pachetelor de servicii integrate prezentată</w:t>
            </w:r>
          </w:p>
        </w:tc>
        <w:tc>
          <w:tcPr>
            <w:tcW w:w="1417" w:type="dxa"/>
            <w:vAlign w:val="center"/>
          </w:tcPr>
          <w:p w14:paraId="4BCC7B31" w14:textId="77777777" w:rsidR="006E4EF4" w:rsidRPr="00E1481B" w:rsidRDefault="006E4EF4" w:rsidP="009B45F0">
            <w:pPr>
              <w:jc w:val="center"/>
              <w:rPr>
                <w:rFonts w:cstheme="minorHAnsi"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1-15 aprilie</w:t>
            </w:r>
          </w:p>
          <w:p w14:paraId="7E9ED6D2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lang w:val="ro-RO"/>
              </w:rPr>
              <w:t>2023</w:t>
            </w:r>
          </w:p>
        </w:tc>
      </w:tr>
      <w:tr w:rsidR="00533E2D" w:rsidRPr="00E1481B" w14:paraId="343639DA" w14:textId="77777777" w:rsidTr="0039455C">
        <w:tc>
          <w:tcPr>
            <w:tcW w:w="562" w:type="dxa"/>
          </w:tcPr>
          <w:p w14:paraId="2C4FD36B" w14:textId="77777777" w:rsidR="00533E2D" w:rsidRPr="00E1481B" w:rsidRDefault="00533E2D" w:rsidP="009B45F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0D6E6CCB" w14:textId="49C69F66" w:rsidR="00533E2D" w:rsidRPr="00E1481B" w:rsidRDefault="00533E2D" w:rsidP="00CF7C5C">
            <w:p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Elaborarea raportului </w:t>
            </w:r>
            <w:bookmarkStart w:id="0" w:name="_GoBack"/>
            <w:bookmarkEnd w:id="0"/>
            <w:r>
              <w:rPr>
                <w:rFonts w:cstheme="minorHAnsi"/>
                <w:lang w:val="ro-RO"/>
              </w:rPr>
              <w:t>final pe consultanță</w:t>
            </w:r>
          </w:p>
        </w:tc>
        <w:tc>
          <w:tcPr>
            <w:tcW w:w="1159" w:type="dxa"/>
            <w:vAlign w:val="center"/>
          </w:tcPr>
          <w:p w14:paraId="60504EB5" w14:textId="71C3491D" w:rsidR="00533E2D" w:rsidRDefault="0001634D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1</w:t>
            </w:r>
          </w:p>
        </w:tc>
        <w:tc>
          <w:tcPr>
            <w:tcW w:w="3094" w:type="dxa"/>
            <w:vAlign w:val="center"/>
          </w:tcPr>
          <w:p w14:paraId="03E860FB" w14:textId="6E26666D" w:rsidR="00533E2D" w:rsidRDefault="00921A66" w:rsidP="009B45F0">
            <w:pPr>
              <w:rPr>
                <w:rFonts w:cstheme="minorHAnsi"/>
                <w:bCs/>
                <w:lang w:val="ro-RO"/>
              </w:rPr>
            </w:pPr>
            <w:r w:rsidRPr="00921A66">
              <w:rPr>
                <w:rFonts w:cstheme="minorHAnsi"/>
                <w:bCs/>
                <w:lang w:val="ro-RO"/>
              </w:rPr>
              <w:t>Raport final consultanță</w:t>
            </w:r>
          </w:p>
        </w:tc>
        <w:tc>
          <w:tcPr>
            <w:tcW w:w="1417" w:type="dxa"/>
            <w:vAlign w:val="center"/>
          </w:tcPr>
          <w:p w14:paraId="04DD2DE4" w14:textId="523460CD" w:rsidR="00533E2D" w:rsidRPr="00E1481B" w:rsidRDefault="00921A66" w:rsidP="009B45F0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 aprilie 2023</w:t>
            </w:r>
          </w:p>
        </w:tc>
      </w:tr>
      <w:tr w:rsidR="006E4EF4" w:rsidRPr="00E1481B" w14:paraId="40449D3F" w14:textId="77777777" w:rsidTr="0039455C">
        <w:tc>
          <w:tcPr>
            <w:tcW w:w="562" w:type="dxa"/>
          </w:tcPr>
          <w:p w14:paraId="6CBFD209" w14:textId="43E5810B" w:rsidR="006E4EF4" w:rsidRPr="00E1481B" w:rsidRDefault="006E4EF4" w:rsidP="009B45F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3544" w:type="dxa"/>
          </w:tcPr>
          <w:p w14:paraId="15E9941D" w14:textId="4B3E162B" w:rsidR="006E4EF4" w:rsidRPr="00E1481B" w:rsidRDefault="006E4EF4" w:rsidP="009B45F0">
            <w:pPr>
              <w:jc w:val="both"/>
              <w:rPr>
                <w:rFonts w:cstheme="minorHAnsi"/>
                <w:lang w:val="ro-RO"/>
              </w:rPr>
            </w:pPr>
          </w:p>
        </w:tc>
        <w:tc>
          <w:tcPr>
            <w:tcW w:w="1159" w:type="dxa"/>
            <w:vAlign w:val="center"/>
          </w:tcPr>
          <w:p w14:paraId="3CE3E54B" w14:textId="77777777" w:rsidR="006E4EF4" w:rsidRPr="00E1481B" w:rsidRDefault="006E4EF4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094" w:type="dxa"/>
          </w:tcPr>
          <w:p w14:paraId="0DE03009" w14:textId="77777777" w:rsidR="006E4EF4" w:rsidRPr="00E1481B" w:rsidRDefault="006E4EF4" w:rsidP="009B45F0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C9F8F2D" w14:textId="5694618E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  <w:tr w:rsidR="006E4EF4" w:rsidRPr="00E1481B" w14:paraId="005AEF0D" w14:textId="77777777" w:rsidTr="0039455C">
        <w:tc>
          <w:tcPr>
            <w:tcW w:w="562" w:type="dxa"/>
          </w:tcPr>
          <w:p w14:paraId="235142F2" w14:textId="77777777" w:rsidR="006E4EF4" w:rsidRPr="00E1481B" w:rsidRDefault="006E4EF4" w:rsidP="009B45F0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3544" w:type="dxa"/>
          </w:tcPr>
          <w:p w14:paraId="7F81F535" w14:textId="77777777" w:rsidR="006E4EF4" w:rsidRPr="00E1481B" w:rsidRDefault="006E4EF4" w:rsidP="009B45F0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E1481B">
              <w:rPr>
                <w:rFonts w:cstheme="minorHAnsi"/>
                <w:b/>
                <w:bCs/>
                <w:lang w:val="ro-RO"/>
              </w:rPr>
              <w:t xml:space="preserve">Total </w:t>
            </w:r>
          </w:p>
        </w:tc>
        <w:tc>
          <w:tcPr>
            <w:tcW w:w="1159" w:type="dxa"/>
            <w:vAlign w:val="center"/>
          </w:tcPr>
          <w:p w14:paraId="37A8F468" w14:textId="257BF607" w:rsidR="006E4EF4" w:rsidRPr="00E1481B" w:rsidRDefault="009B45F0" w:rsidP="0039455C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lang w:val="ro-RO"/>
              </w:rPr>
              <w:t>74 zile</w:t>
            </w:r>
          </w:p>
        </w:tc>
        <w:tc>
          <w:tcPr>
            <w:tcW w:w="3094" w:type="dxa"/>
          </w:tcPr>
          <w:p w14:paraId="67B500E3" w14:textId="77777777" w:rsidR="006E4EF4" w:rsidRPr="00E1481B" w:rsidRDefault="006E4EF4" w:rsidP="009B45F0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5EFECC4" w14:textId="77777777" w:rsidR="006E4EF4" w:rsidRPr="00E1481B" w:rsidRDefault="006E4EF4" w:rsidP="009B45F0">
            <w:pPr>
              <w:jc w:val="center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3B918304" w14:textId="052FD034" w:rsidR="006E4EF4" w:rsidRDefault="00762881" w:rsidP="009B45F0">
      <w:pPr>
        <w:spacing w:after="0" w:line="240" w:lineRule="auto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*Ziua de lucru este egală cu 8 ore.</w:t>
      </w:r>
      <w:r w:rsidR="00251F64">
        <w:rPr>
          <w:rFonts w:cstheme="minorHAnsi"/>
          <w:b/>
          <w:lang w:val="ro-RO"/>
        </w:rPr>
        <w:t xml:space="preserve"> 74 zile = 592 de ore de consultanță.</w:t>
      </w:r>
    </w:p>
    <w:p w14:paraId="6D1AA1AB" w14:textId="77777777" w:rsidR="00762881" w:rsidRDefault="00762881" w:rsidP="009B45F0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225F70AA" w14:textId="77777777" w:rsidR="00762881" w:rsidRPr="00E1481B" w:rsidRDefault="00762881" w:rsidP="009B45F0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585BFA42" w14:textId="77777777" w:rsidR="006E4EF4" w:rsidRPr="00E1481B" w:rsidRDefault="006E4EF4" w:rsidP="009B45F0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cstheme="minorHAnsi"/>
          <w:lang w:val="ro-RO"/>
        </w:rPr>
      </w:pPr>
      <w:r w:rsidRPr="00E1481B">
        <w:rPr>
          <w:rFonts w:cstheme="minorHAnsi"/>
          <w:b/>
          <w:lang w:val="ro-RO"/>
        </w:rPr>
        <w:t>Condiții de angajare</w:t>
      </w:r>
    </w:p>
    <w:p w14:paraId="5B9C9AFB" w14:textId="4CA2E0EC" w:rsidR="006E4EF4" w:rsidRPr="00E1481B" w:rsidRDefault="006E4EF4" w:rsidP="009B45F0">
      <w:pPr>
        <w:pStyle w:val="ListParagraph"/>
        <w:spacing w:after="0" w:line="240" w:lineRule="auto"/>
        <w:ind w:left="0" w:firstLine="567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Consultantul va fi angajat pentru </w:t>
      </w:r>
      <w:r w:rsidR="001C1A1C" w:rsidRPr="00E1481B">
        <w:rPr>
          <w:rFonts w:cstheme="minorHAnsi"/>
          <w:lang w:val="ro-RO"/>
        </w:rPr>
        <w:t xml:space="preserve">realizarea sarcinilor sus-menționate în </w:t>
      </w:r>
      <w:r w:rsidRPr="00E1481B">
        <w:rPr>
          <w:rFonts w:cstheme="minorHAnsi"/>
          <w:lang w:val="ro-RO"/>
        </w:rPr>
        <w:t>perioada 15 iulie 2022 – 15 aprilie 2023</w:t>
      </w:r>
      <w:r w:rsidR="005339E5" w:rsidRPr="00E1481B">
        <w:rPr>
          <w:rFonts w:cstheme="minorHAnsi"/>
          <w:lang w:val="ro-RO"/>
        </w:rPr>
        <w:t xml:space="preserve">, pentru care sunt alocate </w:t>
      </w:r>
      <w:r w:rsidR="001C1A1C" w:rsidRPr="00E1481B">
        <w:rPr>
          <w:rFonts w:cstheme="minorHAnsi"/>
          <w:lang w:val="ro-RO"/>
        </w:rPr>
        <w:t xml:space="preserve">74 de zile </w:t>
      </w:r>
      <w:r w:rsidR="005339E5" w:rsidRPr="00E1481B">
        <w:rPr>
          <w:rFonts w:cstheme="minorHAnsi"/>
          <w:lang w:val="ro-RO"/>
        </w:rPr>
        <w:t>de lucru.</w:t>
      </w:r>
    </w:p>
    <w:p w14:paraId="21F26355" w14:textId="77777777" w:rsidR="006E4EF4" w:rsidRPr="00E1481B" w:rsidRDefault="006E4EF4" w:rsidP="009B45F0">
      <w:pPr>
        <w:pStyle w:val="ListParagraph"/>
        <w:spacing w:after="0" w:line="240" w:lineRule="auto"/>
        <w:ind w:left="0" w:firstLine="567"/>
        <w:rPr>
          <w:rFonts w:cstheme="minorHAnsi"/>
          <w:lang w:val="ro-RO"/>
        </w:rPr>
      </w:pPr>
      <w:r w:rsidRPr="00E1481B">
        <w:rPr>
          <w:rFonts w:cstheme="minorHAnsi"/>
          <w:lang w:val="ro-RO"/>
        </w:rPr>
        <w:t xml:space="preserve"> </w:t>
      </w:r>
    </w:p>
    <w:p w14:paraId="6AD966AE" w14:textId="77777777" w:rsidR="006E4EF4" w:rsidRPr="00E1481B" w:rsidRDefault="006E4EF4" w:rsidP="009B45F0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cstheme="minorHAnsi"/>
          <w:b/>
          <w:lang w:val="ro-RO"/>
        </w:rPr>
      </w:pPr>
      <w:r w:rsidRPr="00E1481B">
        <w:rPr>
          <w:rFonts w:cstheme="minorHAnsi"/>
          <w:b/>
          <w:lang w:val="ro-RO"/>
        </w:rPr>
        <w:t xml:space="preserve">POLITICA DE PROTECTIE </w:t>
      </w:r>
    </w:p>
    <w:p w14:paraId="02CBF158" w14:textId="3C60EE92" w:rsidR="006E4EF4" w:rsidRPr="00E1481B" w:rsidRDefault="006E4EF4" w:rsidP="009B45F0">
      <w:pPr>
        <w:spacing w:line="240" w:lineRule="auto"/>
        <w:jc w:val="both"/>
        <w:rPr>
          <w:rFonts w:eastAsia="Times New Roman" w:cstheme="minorHAnsi"/>
          <w:lang w:val="ro-RO"/>
        </w:rPr>
      </w:pPr>
      <w:r w:rsidRPr="00E1481B">
        <w:rPr>
          <w:rFonts w:eastAsia="Times New Roman" w:cstheme="minorHAnsi"/>
          <w:lang w:val="ro-RO"/>
        </w:rPr>
        <w:t>Angajații Keystone Moldova se ghidează de o politică de protecție a copilului și de politica privind prevenirea exploatării și abuzului sexual</w:t>
      </w:r>
      <w:r w:rsidR="005339E5" w:rsidRPr="00E1481B">
        <w:rPr>
          <w:rFonts w:eastAsia="Times New Roman" w:cstheme="minorHAnsi"/>
          <w:lang w:val="ro-RO"/>
        </w:rPr>
        <w:t>. În acest sens,</w:t>
      </w:r>
      <w:r w:rsidRPr="00E1481B">
        <w:rPr>
          <w:rFonts w:eastAsia="Times New Roman" w:cstheme="minorHAnsi"/>
          <w:lang w:val="ro-RO"/>
        </w:rPr>
        <w:t xml:space="preserve"> consultantul va semna o declarație prin care se v</w:t>
      </w:r>
      <w:r w:rsidR="005339E5" w:rsidRPr="00E1481B">
        <w:rPr>
          <w:rFonts w:eastAsia="Times New Roman" w:cstheme="minorHAnsi"/>
          <w:lang w:val="ro-RO"/>
        </w:rPr>
        <w:t>a</w:t>
      </w:r>
      <w:r w:rsidRPr="00E1481B">
        <w:rPr>
          <w:rFonts w:eastAsia="Times New Roman" w:cstheme="minorHAnsi"/>
          <w:lang w:val="ro-RO"/>
        </w:rPr>
        <w:t xml:space="preserve"> angaja să respecte prevederile </w:t>
      </w:r>
      <w:r w:rsidR="005339E5" w:rsidRPr="00E1481B">
        <w:rPr>
          <w:rFonts w:eastAsia="Times New Roman" w:cstheme="minorHAnsi"/>
          <w:lang w:val="ro-RO"/>
        </w:rPr>
        <w:t>respective</w:t>
      </w:r>
      <w:r w:rsidR="004E2405">
        <w:rPr>
          <w:rFonts w:eastAsia="Times New Roman" w:cstheme="minorHAnsi"/>
          <w:lang w:val="ro-RO"/>
        </w:rPr>
        <w:t>.</w:t>
      </w:r>
    </w:p>
    <w:sectPr w:rsidR="006E4EF4" w:rsidRPr="00E1481B" w:rsidSect="00E976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51" w:bottom="426" w:left="1418" w:header="425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51BD" w16cex:dateUtc="2022-06-28T07:09:00Z"/>
  <w16cex:commentExtensible w16cex:durableId="2665528F" w16cex:dateUtc="2022-06-28T07:12:00Z"/>
  <w16cex:commentExtensible w16cex:durableId="2665533F" w16cex:dateUtc="2022-06-28T07:15:00Z"/>
  <w16cex:commentExtensible w16cex:durableId="2665534B" w16cex:dateUtc="2022-06-28T07:15:00Z"/>
  <w16cex:commentExtensible w16cex:durableId="26655467" w16cex:dateUtc="2022-06-28T07:20:00Z"/>
  <w16cex:commentExtensible w16cex:durableId="2665552B" w16cex:dateUtc="2022-06-28T07:23:00Z"/>
  <w16cex:commentExtensible w16cex:durableId="26655693" w16cex:dateUtc="2022-06-28T07:29:00Z"/>
  <w16cex:commentExtensible w16cex:durableId="266566C4" w16cex:dateUtc="2022-06-28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042A4" w16cid:durableId="266551BD"/>
  <w16cid:commentId w16cid:paraId="635995FC" w16cid:durableId="2665528F"/>
  <w16cid:commentId w16cid:paraId="723D5DB3" w16cid:durableId="2665533F"/>
  <w16cid:commentId w16cid:paraId="4D61C9F2" w16cid:durableId="2665534B"/>
  <w16cid:commentId w16cid:paraId="66444939" w16cid:durableId="26655467"/>
  <w16cid:commentId w16cid:paraId="5FD5F7E2" w16cid:durableId="2665552B"/>
  <w16cid:commentId w16cid:paraId="0A11E192" w16cid:durableId="26655693"/>
  <w16cid:commentId w16cid:paraId="5888B9EC" w16cid:durableId="26656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2717" w14:textId="77777777" w:rsidR="00750EC6" w:rsidRDefault="00750EC6" w:rsidP="007D27F3">
      <w:pPr>
        <w:spacing w:after="0" w:line="240" w:lineRule="auto"/>
      </w:pPr>
      <w:r>
        <w:separator/>
      </w:r>
    </w:p>
  </w:endnote>
  <w:endnote w:type="continuationSeparator" w:id="0">
    <w:p w14:paraId="706DD130" w14:textId="77777777" w:rsidR="00750EC6" w:rsidRDefault="00750EC6" w:rsidP="007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8F11" w14:textId="77777777" w:rsidR="0039455C" w:rsidRDefault="0039455C">
    <w:pPr>
      <w:pStyle w:val="Footer"/>
    </w:pPr>
  </w:p>
  <w:p w14:paraId="3E8D014B" w14:textId="77777777" w:rsidR="0039455C" w:rsidRDefault="0039455C"/>
  <w:p w14:paraId="6BB605FD" w14:textId="77777777" w:rsidR="0039455C" w:rsidRDefault="0039455C"/>
  <w:p w14:paraId="0C6DA008" w14:textId="77777777" w:rsidR="0039455C" w:rsidRDefault="00394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80A4A" w14:textId="77777777" w:rsidR="0039455C" w:rsidRDefault="00394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D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A5481D" w14:textId="77777777" w:rsidR="0039455C" w:rsidRDefault="00394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992A" w14:textId="77777777" w:rsidR="00750EC6" w:rsidRDefault="00750EC6" w:rsidP="007D27F3">
      <w:pPr>
        <w:spacing w:after="0" w:line="240" w:lineRule="auto"/>
      </w:pPr>
      <w:r>
        <w:separator/>
      </w:r>
    </w:p>
  </w:footnote>
  <w:footnote w:type="continuationSeparator" w:id="0">
    <w:p w14:paraId="7E6124EF" w14:textId="77777777" w:rsidR="00750EC6" w:rsidRDefault="00750EC6" w:rsidP="007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60EB" w14:textId="77777777" w:rsidR="0039455C" w:rsidRDefault="0039455C">
    <w:pPr>
      <w:pStyle w:val="Header"/>
    </w:pPr>
  </w:p>
  <w:p w14:paraId="55A76820" w14:textId="77777777" w:rsidR="0039455C" w:rsidRDefault="0039455C"/>
  <w:p w14:paraId="5F391EF4" w14:textId="77777777" w:rsidR="0039455C" w:rsidRDefault="0039455C"/>
  <w:p w14:paraId="037B69F3" w14:textId="77777777" w:rsidR="0039455C" w:rsidRDefault="00394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E9C4" w14:textId="65DDCC28" w:rsidR="0039455C" w:rsidRDefault="0039455C" w:rsidP="00105473">
    <w:pPr>
      <w:pStyle w:val="Header"/>
    </w:pPr>
    <w:r w:rsidRPr="003A5C1F">
      <w:rPr>
        <w:noProof/>
        <w:lang w:val="en-US"/>
      </w:rPr>
      <w:drawing>
        <wp:inline distT="0" distB="0" distL="0" distR="0" wp14:anchorId="08EE0E86" wp14:editId="2FAFE50D">
          <wp:extent cx="1821455" cy="670536"/>
          <wp:effectExtent l="0" t="0" r="7620" b="0"/>
          <wp:docPr id="1" name="Picture 1" descr="C:\Users\Keystone\Desktop\Proiect SOROS_Educație\Doc pe proiect\Vizibilitate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ystone\Desktop\Proiect SOROS_Educație\Doc pe proiect\Vizibilitate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09" cy="69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6855AF">
      <w:rPr>
        <w:noProof/>
        <w:lang w:val="en-US"/>
      </w:rPr>
      <w:drawing>
        <wp:inline distT="0" distB="0" distL="0" distR="0" wp14:anchorId="09682B03" wp14:editId="65BC3D37">
          <wp:extent cx="2489627" cy="617220"/>
          <wp:effectExtent l="0" t="0" r="6350" b="0"/>
          <wp:docPr id="2" name="Picture 2" descr="C:\Users\Keystone\Desktop\KHS_Logo021_Moldova_Horozon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KHS_Logo021_Moldova_Horozon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9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A2C"/>
    <w:multiLevelType w:val="hybridMultilevel"/>
    <w:tmpl w:val="0A42C50E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37EA"/>
    <w:multiLevelType w:val="hybridMultilevel"/>
    <w:tmpl w:val="B03A5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299"/>
    <w:multiLevelType w:val="hybridMultilevel"/>
    <w:tmpl w:val="A044DE34"/>
    <w:lvl w:ilvl="0" w:tplc="CCF69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193"/>
    <w:multiLevelType w:val="hybridMultilevel"/>
    <w:tmpl w:val="75FEFD9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E05D80"/>
    <w:multiLevelType w:val="hybridMultilevel"/>
    <w:tmpl w:val="924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2C0"/>
    <w:multiLevelType w:val="hybridMultilevel"/>
    <w:tmpl w:val="E722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2A67"/>
    <w:multiLevelType w:val="hybridMultilevel"/>
    <w:tmpl w:val="5C464138"/>
    <w:lvl w:ilvl="0" w:tplc="1F346D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3FD"/>
    <w:multiLevelType w:val="hybridMultilevel"/>
    <w:tmpl w:val="4F62B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3CF"/>
    <w:multiLevelType w:val="hybridMultilevel"/>
    <w:tmpl w:val="85AE0972"/>
    <w:lvl w:ilvl="0" w:tplc="C3087E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80B"/>
    <w:multiLevelType w:val="hybridMultilevel"/>
    <w:tmpl w:val="18C45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553B7"/>
    <w:multiLevelType w:val="hybridMultilevel"/>
    <w:tmpl w:val="EF121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A66C0"/>
    <w:multiLevelType w:val="hybridMultilevel"/>
    <w:tmpl w:val="B3B6C002"/>
    <w:lvl w:ilvl="0" w:tplc="04A0CD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D76633"/>
    <w:multiLevelType w:val="hybridMultilevel"/>
    <w:tmpl w:val="BBA2D354"/>
    <w:lvl w:ilvl="0" w:tplc="83D86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838BB"/>
    <w:multiLevelType w:val="hybridMultilevel"/>
    <w:tmpl w:val="FE2EED84"/>
    <w:lvl w:ilvl="0" w:tplc="F86AB9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53C07"/>
    <w:multiLevelType w:val="hybridMultilevel"/>
    <w:tmpl w:val="E30CF036"/>
    <w:lvl w:ilvl="0" w:tplc="3EBC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C537B"/>
    <w:multiLevelType w:val="multilevel"/>
    <w:tmpl w:val="C3C8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785BCB"/>
    <w:multiLevelType w:val="hybridMultilevel"/>
    <w:tmpl w:val="6530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119D7"/>
    <w:multiLevelType w:val="hybridMultilevel"/>
    <w:tmpl w:val="04660916"/>
    <w:lvl w:ilvl="0" w:tplc="F23C7F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2AA1"/>
    <w:multiLevelType w:val="hybridMultilevel"/>
    <w:tmpl w:val="35BE39DC"/>
    <w:lvl w:ilvl="0" w:tplc="665086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59C598E"/>
    <w:multiLevelType w:val="hybridMultilevel"/>
    <w:tmpl w:val="B7C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D3D17"/>
    <w:multiLevelType w:val="hybridMultilevel"/>
    <w:tmpl w:val="BF8C1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716AF"/>
    <w:multiLevelType w:val="hybridMultilevel"/>
    <w:tmpl w:val="CBE48686"/>
    <w:lvl w:ilvl="0" w:tplc="62DC07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257E0"/>
    <w:multiLevelType w:val="hybridMultilevel"/>
    <w:tmpl w:val="7736F74A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266E14"/>
    <w:multiLevelType w:val="multilevel"/>
    <w:tmpl w:val="6FB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0A07B7"/>
    <w:multiLevelType w:val="hybridMultilevel"/>
    <w:tmpl w:val="4CE8E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197E20"/>
    <w:multiLevelType w:val="multilevel"/>
    <w:tmpl w:val="C15C7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1C10D83"/>
    <w:multiLevelType w:val="hybridMultilevel"/>
    <w:tmpl w:val="EA46328A"/>
    <w:lvl w:ilvl="0" w:tplc="D3A0633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91546"/>
    <w:multiLevelType w:val="hybridMultilevel"/>
    <w:tmpl w:val="894495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6F4733C"/>
    <w:multiLevelType w:val="hybridMultilevel"/>
    <w:tmpl w:val="904AF6A4"/>
    <w:lvl w:ilvl="0" w:tplc="B4D03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41A20"/>
    <w:multiLevelType w:val="hybridMultilevel"/>
    <w:tmpl w:val="E5022096"/>
    <w:lvl w:ilvl="0" w:tplc="E286E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90E54"/>
    <w:multiLevelType w:val="hybridMultilevel"/>
    <w:tmpl w:val="E080393E"/>
    <w:lvl w:ilvl="0" w:tplc="0409000B">
      <w:start w:val="1"/>
      <w:numFmt w:val="bullet"/>
      <w:lvlText w:val=""/>
      <w:lvlJc w:val="left"/>
      <w:pPr>
        <w:ind w:left="2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2" w15:restartNumberingAfterBreak="0">
    <w:nsid w:val="720218D7"/>
    <w:multiLevelType w:val="hybridMultilevel"/>
    <w:tmpl w:val="9BDCF176"/>
    <w:lvl w:ilvl="0" w:tplc="49CC7BC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D5D10"/>
    <w:multiLevelType w:val="hybridMultilevel"/>
    <w:tmpl w:val="A234184E"/>
    <w:lvl w:ilvl="0" w:tplc="204A0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AF016D6"/>
    <w:multiLevelType w:val="hybridMultilevel"/>
    <w:tmpl w:val="A76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B1C3B"/>
    <w:multiLevelType w:val="hybridMultilevel"/>
    <w:tmpl w:val="05B42DF2"/>
    <w:lvl w:ilvl="0" w:tplc="2B3862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5"/>
  </w:num>
  <w:num w:numId="4">
    <w:abstractNumId w:val="7"/>
  </w:num>
  <w:num w:numId="5">
    <w:abstractNumId w:val="9"/>
  </w:num>
  <w:num w:numId="6">
    <w:abstractNumId w:val="19"/>
  </w:num>
  <w:num w:numId="7">
    <w:abstractNumId w:val="24"/>
  </w:num>
  <w:num w:numId="8">
    <w:abstractNumId w:val="15"/>
  </w:num>
  <w:num w:numId="9">
    <w:abstractNumId w:val="28"/>
  </w:num>
  <w:num w:numId="10">
    <w:abstractNumId w:val="12"/>
  </w:num>
  <w:num w:numId="11">
    <w:abstractNumId w:val="4"/>
  </w:num>
  <w:num w:numId="12">
    <w:abstractNumId w:val="10"/>
  </w:num>
  <w:num w:numId="13">
    <w:abstractNumId w:val="26"/>
  </w:num>
  <w:num w:numId="14">
    <w:abstractNumId w:val="25"/>
  </w:num>
  <w:num w:numId="15">
    <w:abstractNumId w:val="1"/>
  </w:num>
  <w:num w:numId="16">
    <w:abstractNumId w:val="11"/>
  </w:num>
  <w:num w:numId="17">
    <w:abstractNumId w:val="33"/>
  </w:num>
  <w:num w:numId="18">
    <w:abstractNumId w:val="14"/>
  </w:num>
  <w:num w:numId="19">
    <w:abstractNumId w:val="2"/>
  </w:num>
  <w:num w:numId="20">
    <w:abstractNumId w:val="18"/>
  </w:num>
  <w:num w:numId="21">
    <w:abstractNumId w:val="32"/>
  </w:num>
  <w:num w:numId="22">
    <w:abstractNumId w:val="31"/>
  </w:num>
  <w:num w:numId="23">
    <w:abstractNumId w:val="13"/>
  </w:num>
  <w:num w:numId="24">
    <w:abstractNumId w:val="29"/>
  </w:num>
  <w:num w:numId="25">
    <w:abstractNumId w:val="5"/>
  </w:num>
  <w:num w:numId="26">
    <w:abstractNumId w:val="8"/>
  </w:num>
  <w:num w:numId="27">
    <w:abstractNumId w:val="6"/>
  </w:num>
  <w:num w:numId="28">
    <w:abstractNumId w:val="3"/>
  </w:num>
  <w:num w:numId="29">
    <w:abstractNumId w:val="21"/>
  </w:num>
  <w:num w:numId="30">
    <w:abstractNumId w:val="23"/>
  </w:num>
  <w:num w:numId="31">
    <w:abstractNumId w:val="16"/>
  </w:num>
  <w:num w:numId="32">
    <w:abstractNumId w:val="20"/>
  </w:num>
  <w:num w:numId="33">
    <w:abstractNumId w:val="17"/>
  </w:num>
  <w:num w:numId="34">
    <w:abstractNumId w:val="34"/>
  </w:num>
  <w:num w:numId="35">
    <w:abstractNumId w:val="3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B9"/>
    <w:rsid w:val="0001634D"/>
    <w:rsid w:val="00016A9F"/>
    <w:rsid w:val="00021682"/>
    <w:rsid w:val="00026153"/>
    <w:rsid w:val="00034459"/>
    <w:rsid w:val="000407F1"/>
    <w:rsid w:val="00041AF3"/>
    <w:rsid w:val="00046C93"/>
    <w:rsid w:val="000513D2"/>
    <w:rsid w:val="00056F64"/>
    <w:rsid w:val="000630B4"/>
    <w:rsid w:val="00070E57"/>
    <w:rsid w:val="000A2316"/>
    <w:rsid w:val="000B0E8B"/>
    <w:rsid w:val="000C1EE5"/>
    <w:rsid w:val="00100B64"/>
    <w:rsid w:val="00105473"/>
    <w:rsid w:val="00107EAE"/>
    <w:rsid w:val="001102CA"/>
    <w:rsid w:val="00136C22"/>
    <w:rsid w:val="00142731"/>
    <w:rsid w:val="00155386"/>
    <w:rsid w:val="00172268"/>
    <w:rsid w:val="00181713"/>
    <w:rsid w:val="001A5A56"/>
    <w:rsid w:val="001B09BE"/>
    <w:rsid w:val="001C1A1C"/>
    <w:rsid w:val="001E1031"/>
    <w:rsid w:val="001E1BC8"/>
    <w:rsid w:val="002060C1"/>
    <w:rsid w:val="00211F64"/>
    <w:rsid w:val="00215291"/>
    <w:rsid w:val="00236DC9"/>
    <w:rsid w:val="00243071"/>
    <w:rsid w:val="00251F64"/>
    <w:rsid w:val="00254278"/>
    <w:rsid w:val="00260F60"/>
    <w:rsid w:val="00265A06"/>
    <w:rsid w:val="0028498B"/>
    <w:rsid w:val="00285ECA"/>
    <w:rsid w:val="002979A8"/>
    <w:rsid w:val="002A2430"/>
    <w:rsid w:val="002A28D3"/>
    <w:rsid w:val="002A46F4"/>
    <w:rsid w:val="002E1B56"/>
    <w:rsid w:val="002E37C6"/>
    <w:rsid w:val="002F00E2"/>
    <w:rsid w:val="00320AB7"/>
    <w:rsid w:val="003276BF"/>
    <w:rsid w:val="00336E16"/>
    <w:rsid w:val="00342715"/>
    <w:rsid w:val="00373B50"/>
    <w:rsid w:val="00377F69"/>
    <w:rsid w:val="0039455C"/>
    <w:rsid w:val="00396ECB"/>
    <w:rsid w:val="003B6F3D"/>
    <w:rsid w:val="003C5D47"/>
    <w:rsid w:val="003C7255"/>
    <w:rsid w:val="003D1BC6"/>
    <w:rsid w:val="003D4EFA"/>
    <w:rsid w:val="003D7973"/>
    <w:rsid w:val="004054BD"/>
    <w:rsid w:val="004055AB"/>
    <w:rsid w:val="00412B26"/>
    <w:rsid w:val="00423884"/>
    <w:rsid w:val="00426CC9"/>
    <w:rsid w:val="0042779B"/>
    <w:rsid w:val="00432FB2"/>
    <w:rsid w:val="00447686"/>
    <w:rsid w:val="00452A1C"/>
    <w:rsid w:val="004553A3"/>
    <w:rsid w:val="00465284"/>
    <w:rsid w:val="00465600"/>
    <w:rsid w:val="004923D1"/>
    <w:rsid w:val="00495DE3"/>
    <w:rsid w:val="004A1EB7"/>
    <w:rsid w:val="004D699E"/>
    <w:rsid w:val="004E2405"/>
    <w:rsid w:val="004E483E"/>
    <w:rsid w:val="004F440B"/>
    <w:rsid w:val="005339E5"/>
    <w:rsid w:val="00533E2D"/>
    <w:rsid w:val="005365DA"/>
    <w:rsid w:val="005754FA"/>
    <w:rsid w:val="00580C51"/>
    <w:rsid w:val="0058741C"/>
    <w:rsid w:val="005A736C"/>
    <w:rsid w:val="005B5F3F"/>
    <w:rsid w:val="005B625A"/>
    <w:rsid w:val="005C581A"/>
    <w:rsid w:val="005D4419"/>
    <w:rsid w:val="005D4B16"/>
    <w:rsid w:val="005D6034"/>
    <w:rsid w:val="005D69FF"/>
    <w:rsid w:val="005F7C6B"/>
    <w:rsid w:val="006058F2"/>
    <w:rsid w:val="00651DB1"/>
    <w:rsid w:val="00654C89"/>
    <w:rsid w:val="00665CD2"/>
    <w:rsid w:val="00681A8A"/>
    <w:rsid w:val="006855AF"/>
    <w:rsid w:val="006859F3"/>
    <w:rsid w:val="006A1357"/>
    <w:rsid w:val="006B2093"/>
    <w:rsid w:val="006C1A6C"/>
    <w:rsid w:val="006D78A9"/>
    <w:rsid w:val="006E3AAE"/>
    <w:rsid w:val="006E4EF4"/>
    <w:rsid w:val="006E6098"/>
    <w:rsid w:val="006F36B9"/>
    <w:rsid w:val="007055A8"/>
    <w:rsid w:val="007163D2"/>
    <w:rsid w:val="00717E83"/>
    <w:rsid w:val="007359C2"/>
    <w:rsid w:val="0074088F"/>
    <w:rsid w:val="00750EC6"/>
    <w:rsid w:val="007539A1"/>
    <w:rsid w:val="00753F62"/>
    <w:rsid w:val="00762881"/>
    <w:rsid w:val="00765BD8"/>
    <w:rsid w:val="00772C60"/>
    <w:rsid w:val="00783012"/>
    <w:rsid w:val="00784F84"/>
    <w:rsid w:val="007A2A87"/>
    <w:rsid w:val="007B2395"/>
    <w:rsid w:val="007B3D68"/>
    <w:rsid w:val="007B69B2"/>
    <w:rsid w:val="007C11C1"/>
    <w:rsid w:val="007C2717"/>
    <w:rsid w:val="007C2722"/>
    <w:rsid w:val="007C2BBC"/>
    <w:rsid w:val="007D02B1"/>
    <w:rsid w:val="007D1A21"/>
    <w:rsid w:val="007D27F3"/>
    <w:rsid w:val="007D3EEC"/>
    <w:rsid w:val="007D7A31"/>
    <w:rsid w:val="00821243"/>
    <w:rsid w:val="00823B8C"/>
    <w:rsid w:val="00835D3B"/>
    <w:rsid w:val="008417FC"/>
    <w:rsid w:val="00844CD9"/>
    <w:rsid w:val="008525CA"/>
    <w:rsid w:val="00862CE7"/>
    <w:rsid w:val="00870AE5"/>
    <w:rsid w:val="00873FA9"/>
    <w:rsid w:val="00880B65"/>
    <w:rsid w:val="008E42B9"/>
    <w:rsid w:val="008F529F"/>
    <w:rsid w:val="00915463"/>
    <w:rsid w:val="009217B9"/>
    <w:rsid w:val="00921A66"/>
    <w:rsid w:val="009264CD"/>
    <w:rsid w:val="00942D40"/>
    <w:rsid w:val="00960A65"/>
    <w:rsid w:val="00972F76"/>
    <w:rsid w:val="009735A6"/>
    <w:rsid w:val="0098166E"/>
    <w:rsid w:val="00982675"/>
    <w:rsid w:val="009A1F27"/>
    <w:rsid w:val="009A71DB"/>
    <w:rsid w:val="009B45F0"/>
    <w:rsid w:val="009C7223"/>
    <w:rsid w:val="009D1A85"/>
    <w:rsid w:val="009D4A7F"/>
    <w:rsid w:val="009E6189"/>
    <w:rsid w:val="009F3048"/>
    <w:rsid w:val="00A10738"/>
    <w:rsid w:val="00A24B7D"/>
    <w:rsid w:val="00A34A67"/>
    <w:rsid w:val="00A35434"/>
    <w:rsid w:val="00A41812"/>
    <w:rsid w:val="00A41AEF"/>
    <w:rsid w:val="00A44FCF"/>
    <w:rsid w:val="00A5008C"/>
    <w:rsid w:val="00A51A2C"/>
    <w:rsid w:val="00A520E0"/>
    <w:rsid w:val="00A67B31"/>
    <w:rsid w:val="00A73E19"/>
    <w:rsid w:val="00A743BD"/>
    <w:rsid w:val="00A8041D"/>
    <w:rsid w:val="00A82D75"/>
    <w:rsid w:val="00A912BE"/>
    <w:rsid w:val="00AA27FD"/>
    <w:rsid w:val="00AA528C"/>
    <w:rsid w:val="00AE1432"/>
    <w:rsid w:val="00B049E9"/>
    <w:rsid w:val="00B108B0"/>
    <w:rsid w:val="00B2407C"/>
    <w:rsid w:val="00B37B6C"/>
    <w:rsid w:val="00B46D70"/>
    <w:rsid w:val="00B601E3"/>
    <w:rsid w:val="00B638BB"/>
    <w:rsid w:val="00B74D8E"/>
    <w:rsid w:val="00B811FD"/>
    <w:rsid w:val="00B820E0"/>
    <w:rsid w:val="00B82241"/>
    <w:rsid w:val="00B82E4D"/>
    <w:rsid w:val="00B82F7D"/>
    <w:rsid w:val="00B84F7D"/>
    <w:rsid w:val="00B9252B"/>
    <w:rsid w:val="00BB25A6"/>
    <w:rsid w:val="00BB4836"/>
    <w:rsid w:val="00BB77F1"/>
    <w:rsid w:val="00BC7CA7"/>
    <w:rsid w:val="00BE096A"/>
    <w:rsid w:val="00BE1E91"/>
    <w:rsid w:val="00C21716"/>
    <w:rsid w:val="00C37C43"/>
    <w:rsid w:val="00C41A24"/>
    <w:rsid w:val="00C41EB6"/>
    <w:rsid w:val="00C52674"/>
    <w:rsid w:val="00C62469"/>
    <w:rsid w:val="00C74528"/>
    <w:rsid w:val="00C77683"/>
    <w:rsid w:val="00C9368C"/>
    <w:rsid w:val="00C96481"/>
    <w:rsid w:val="00C96987"/>
    <w:rsid w:val="00CC07B2"/>
    <w:rsid w:val="00CC18CE"/>
    <w:rsid w:val="00CC3C9D"/>
    <w:rsid w:val="00CE1094"/>
    <w:rsid w:val="00CF0CB1"/>
    <w:rsid w:val="00CF2999"/>
    <w:rsid w:val="00CF7C5C"/>
    <w:rsid w:val="00D024CC"/>
    <w:rsid w:val="00D24CE9"/>
    <w:rsid w:val="00D33741"/>
    <w:rsid w:val="00D51D93"/>
    <w:rsid w:val="00D533FF"/>
    <w:rsid w:val="00D549AA"/>
    <w:rsid w:val="00D60F11"/>
    <w:rsid w:val="00D7247B"/>
    <w:rsid w:val="00D72FBD"/>
    <w:rsid w:val="00D749F7"/>
    <w:rsid w:val="00D837A5"/>
    <w:rsid w:val="00D92ACA"/>
    <w:rsid w:val="00DA11BB"/>
    <w:rsid w:val="00DB3C0E"/>
    <w:rsid w:val="00DC2A55"/>
    <w:rsid w:val="00DF1157"/>
    <w:rsid w:val="00E05F16"/>
    <w:rsid w:val="00E1481B"/>
    <w:rsid w:val="00E2482D"/>
    <w:rsid w:val="00E27221"/>
    <w:rsid w:val="00E50378"/>
    <w:rsid w:val="00E55518"/>
    <w:rsid w:val="00E57A17"/>
    <w:rsid w:val="00E64555"/>
    <w:rsid w:val="00E9769A"/>
    <w:rsid w:val="00EA6EF1"/>
    <w:rsid w:val="00EB5F8F"/>
    <w:rsid w:val="00EB73ED"/>
    <w:rsid w:val="00EC23F1"/>
    <w:rsid w:val="00EC5FB6"/>
    <w:rsid w:val="00ED76D7"/>
    <w:rsid w:val="00EE2018"/>
    <w:rsid w:val="00EE67D7"/>
    <w:rsid w:val="00EF7E51"/>
    <w:rsid w:val="00F020EA"/>
    <w:rsid w:val="00F05232"/>
    <w:rsid w:val="00F135DC"/>
    <w:rsid w:val="00F13AA2"/>
    <w:rsid w:val="00F247D4"/>
    <w:rsid w:val="00F3024D"/>
    <w:rsid w:val="00F410A6"/>
    <w:rsid w:val="00F4577F"/>
    <w:rsid w:val="00F5296A"/>
    <w:rsid w:val="00F530B7"/>
    <w:rsid w:val="00F81473"/>
    <w:rsid w:val="00F8182C"/>
    <w:rsid w:val="00F96D24"/>
    <w:rsid w:val="00FB4150"/>
    <w:rsid w:val="00FB4756"/>
    <w:rsid w:val="00FB73A9"/>
    <w:rsid w:val="00FC6EB8"/>
    <w:rsid w:val="00FE0A7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A45E"/>
  <w15:chartTrackingRefBased/>
  <w15:docId w15:val="{E418B7FB-1F80-47DB-B880-3302027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D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Bullet"/>
    <w:basedOn w:val="Normal"/>
    <w:link w:val="ListParagraphChar"/>
    <w:uiPriority w:val="34"/>
    <w:qFormat/>
    <w:rsid w:val="007D27F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1 Char,Bullet Char"/>
    <w:link w:val="ListParagraph"/>
    <w:uiPriority w:val="34"/>
    <w:locked/>
    <w:rsid w:val="007D27F3"/>
  </w:style>
  <w:style w:type="paragraph" w:styleId="Footer">
    <w:name w:val="footer"/>
    <w:basedOn w:val="Normal"/>
    <w:link w:val="FooterChar"/>
    <w:uiPriority w:val="99"/>
    <w:unhideWhenUsed/>
    <w:rsid w:val="007D2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F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7F3"/>
    <w:rPr>
      <w:sz w:val="20"/>
      <w:szCs w:val="20"/>
      <w:lang w:val="en-GB"/>
    </w:rPr>
  </w:style>
  <w:style w:type="character" w:styleId="Strong">
    <w:name w:val="Strong"/>
    <w:uiPriority w:val="22"/>
    <w:qFormat/>
    <w:rsid w:val="007D27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0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969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E51"/>
    <w:rPr>
      <w:color w:val="0563C1" w:themeColor="hyperlink"/>
      <w:u w:val="single"/>
    </w:rPr>
  </w:style>
  <w:style w:type="paragraph" w:customStyle="1" w:styleId="Default">
    <w:name w:val="Default"/>
    <w:rsid w:val="00D83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37A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semiHidden/>
    <w:unhideWhenUsed/>
    <w:rsid w:val="0075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F0CB1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A1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1288-5B4A-4944-9BAE-6F7DD976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 Associ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Malcoci</dc:creator>
  <cp:keywords/>
  <dc:description/>
  <cp:lastModifiedBy>Doina Cuțulab</cp:lastModifiedBy>
  <cp:revision>41</cp:revision>
  <dcterms:created xsi:type="dcterms:W3CDTF">2022-06-28T09:22:00Z</dcterms:created>
  <dcterms:modified xsi:type="dcterms:W3CDTF">2022-06-30T06:15:00Z</dcterms:modified>
</cp:coreProperties>
</file>