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2F3A" w14:textId="77777777" w:rsidR="00E9350B" w:rsidRDefault="00E9350B" w:rsidP="00E560E0">
      <w:pPr>
        <w:widowControl w:val="0"/>
        <w:kinsoku w:val="0"/>
        <w:overflowPunct w:val="0"/>
        <w:autoSpaceDE w:val="0"/>
        <w:autoSpaceDN w:val="0"/>
        <w:adjustRightInd w:val="0"/>
        <w:spacing w:line="23" w:lineRule="atLeast"/>
        <w:jc w:val="center"/>
        <w:rPr>
          <w:rFonts w:ascii="Meta OFC" w:hAnsi="Meta OFC"/>
          <w:b/>
          <w:bCs/>
          <w:sz w:val="32"/>
          <w:szCs w:val="32"/>
          <w:lang w:val="ro-RO"/>
        </w:rPr>
      </w:pPr>
    </w:p>
    <w:p w14:paraId="25CB44BF" w14:textId="160929AA" w:rsidR="00E560E0" w:rsidRPr="00E560E0" w:rsidRDefault="00E560E0" w:rsidP="00E560E0">
      <w:pPr>
        <w:widowControl w:val="0"/>
        <w:kinsoku w:val="0"/>
        <w:overflowPunct w:val="0"/>
        <w:autoSpaceDE w:val="0"/>
        <w:autoSpaceDN w:val="0"/>
        <w:adjustRightInd w:val="0"/>
        <w:spacing w:line="23" w:lineRule="atLeast"/>
        <w:jc w:val="center"/>
        <w:rPr>
          <w:rFonts w:ascii="Meta OFC" w:hAnsi="Meta OFC" w:cs="Corbel"/>
          <w:b/>
          <w:bCs/>
          <w:sz w:val="32"/>
          <w:szCs w:val="32"/>
          <w:lang w:val="ro-RO" w:eastAsia="ro-RO"/>
        </w:rPr>
      </w:pPr>
      <w:r w:rsidRPr="00E560E0">
        <w:rPr>
          <w:rFonts w:ascii="Meta OFC" w:hAnsi="Meta OFC"/>
          <w:b/>
          <w:bCs/>
          <w:sz w:val="32"/>
          <w:szCs w:val="32"/>
          <w:lang w:val="ro-RO"/>
        </w:rPr>
        <w:t xml:space="preserve">Termeni de referință privind selectarea unei companii </w:t>
      </w:r>
      <w:bookmarkStart w:id="0" w:name="_Hlk194094382"/>
      <w:r w:rsidRPr="00E560E0">
        <w:rPr>
          <w:rFonts w:ascii="Meta OFC" w:hAnsi="Meta OFC"/>
          <w:b/>
          <w:bCs/>
          <w:sz w:val="32"/>
          <w:szCs w:val="32"/>
          <w:lang w:val="ro-RO"/>
        </w:rPr>
        <w:t>pentru achiziția de mobilier școlar pentru Centrele Multifuncționale A.O. ”</w:t>
      </w:r>
      <w:r w:rsidR="00C673A4">
        <w:rPr>
          <w:rFonts w:ascii="Meta OFC" w:hAnsi="Meta OFC"/>
          <w:b/>
          <w:bCs/>
          <w:sz w:val="32"/>
          <w:szCs w:val="32"/>
          <w:lang w:val="ro-RO"/>
        </w:rPr>
        <w:t>CONCORDIA</w:t>
      </w:r>
      <w:r w:rsidRPr="00E560E0">
        <w:rPr>
          <w:rFonts w:ascii="Meta OFC" w:hAnsi="Meta OFC"/>
          <w:b/>
          <w:bCs/>
          <w:sz w:val="32"/>
          <w:szCs w:val="32"/>
          <w:lang w:val="ro-RO"/>
        </w:rPr>
        <w:t>. Proiecte Sociale”</w:t>
      </w:r>
      <w:bookmarkEnd w:id="0"/>
    </w:p>
    <w:p w14:paraId="170C083C" w14:textId="77777777" w:rsidR="00E560E0" w:rsidRPr="00EF1D16" w:rsidRDefault="00E560E0" w:rsidP="00E560E0">
      <w:pPr>
        <w:widowControl w:val="0"/>
        <w:tabs>
          <w:tab w:val="left" w:pos="8350"/>
        </w:tabs>
        <w:kinsoku w:val="0"/>
        <w:overflowPunct w:val="0"/>
        <w:autoSpaceDE w:val="0"/>
        <w:autoSpaceDN w:val="0"/>
        <w:adjustRightInd w:val="0"/>
        <w:spacing w:line="23" w:lineRule="atLeast"/>
        <w:rPr>
          <w:rFonts w:ascii="Meta OFC" w:hAnsi="Meta OFC" w:cs="Corbel"/>
          <w:b/>
          <w:bCs/>
          <w:szCs w:val="24"/>
          <w:lang w:val="ro-RO" w:eastAsia="ro-RO"/>
        </w:rPr>
      </w:pPr>
    </w:p>
    <w:p w14:paraId="03E9A569" w14:textId="77777777" w:rsidR="00E560E0" w:rsidRDefault="00E560E0" w:rsidP="00E560E0">
      <w:pPr>
        <w:widowControl w:val="0"/>
        <w:tabs>
          <w:tab w:val="left" w:pos="8350"/>
        </w:tabs>
        <w:kinsoku w:val="0"/>
        <w:overflowPunct w:val="0"/>
        <w:autoSpaceDE w:val="0"/>
        <w:autoSpaceDN w:val="0"/>
        <w:adjustRightInd w:val="0"/>
        <w:spacing w:after="120" w:line="23" w:lineRule="atLeast"/>
        <w:rPr>
          <w:rFonts w:ascii="Meta OFC" w:eastAsia="Times New Roman" w:hAnsi="Meta OFC" w:cs="Times New Roman"/>
          <w:color w:val="262626"/>
          <w:kern w:val="0"/>
          <w:sz w:val="20"/>
          <w:szCs w:val="20"/>
          <w:lang w:val="ro-RO" w:eastAsia="ro-MD"/>
          <w14:ligatures w14:val="none"/>
        </w:rPr>
      </w:pPr>
      <w:r w:rsidRPr="00EF1D16">
        <w:rPr>
          <w:rFonts w:ascii="Meta OFC" w:hAnsi="Meta OFC" w:cs="Corbel"/>
          <w:b/>
          <w:bCs/>
          <w:szCs w:val="24"/>
          <w:lang w:val="ro-RO" w:eastAsia="ro-RO"/>
        </w:rPr>
        <w:t>Cadrul general</w:t>
      </w:r>
      <w:r w:rsidRPr="00E560E0">
        <w:rPr>
          <w:rFonts w:ascii="Meta OFC" w:eastAsia="Times New Roman" w:hAnsi="Meta OFC" w:cs="Times New Roman"/>
          <w:color w:val="262626"/>
          <w:kern w:val="0"/>
          <w:sz w:val="20"/>
          <w:szCs w:val="20"/>
          <w:lang w:val="ro-RO" w:eastAsia="ro-MD"/>
          <w14:ligatures w14:val="none"/>
        </w:rPr>
        <w:t xml:space="preserve"> </w:t>
      </w:r>
    </w:p>
    <w:p w14:paraId="58001366" w14:textId="77777777" w:rsidR="00E560E0" w:rsidRDefault="00E560E0" w:rsidP="00E560E0">
      <w:pPr>
        <w:widowControl w:val="0"/>
        <w:tabs>
          <w:tab w:val="left" w:pos="8350"/>
        </w:tabs>
        <w:kinsoku w:val="0"/>
        <w:overflowPunct w:val="0"/>
        <w:autoSpaceDE w:val="0"/>
        <w:autoSpaceDN w:val="0"/>
        <w:adjustRightInd w:val="0"/>
        <w:spacing w:after="120" w:line="23" w:lineRule="atLeast"/>
        <w:jc w:val="both"/>
        <w:rPr>
          <w:rFonts w:ascii="Meta OFC" w:eastAsia="Times New Roman" w:hAnsi="Meta OFC" w:cs="Times New Roman"/>
          <w:color w:val="262626"/>
          <w:kern w:val="0"/>
          <w:sz w:val="20"/>
          <w:szCs w:val="20"/>
          <w:lang w:val="ro-RO" w:eastAsia="ro-MD"/>
          <w14:ligatures w14:val="none"/>
        </w:rPr>
      </w:pPr>
    </w:p>
    <w:p w14:paraId="43A49707" w14:textId="5ECC5B8C" w:rsidR="00E560E0" w:rsidRPr="00E560E0" w:rsidRDefault="00E560E0" w:rsidP="00E560E0">
      <w:pPr>
        <w:widowControl w:val="0"/>
        <w:tabs>
          <w:tab w:val="left" w:pos="8350"/>
        </w:tabs>
        <w:kinsoku w:val="0"/>
        <w:overflowPunct w:val="0"/>
        <w:autoSpaceDE w:val="0"/>
        <w:autoSpaceDN w:val="0"/>
        <w:adjustRightInd w:val="0"/>
        <w:spacing w:after="120" w:line="23" w:lineRule="atLeast"/>
        <w:jc w:val="both"/>
        <w:rPr>
          <w:rFonts w:ascii="Meta OFC" w:eastAsia="Calibri" w:hAnsi="Meta OFC" w:cs="Tahoma"/>
          <w:szCs w:val="24"/>
          <w:lang w:val="ro-RO"/>
        </w:rPr>
      </w:pPr>
      <w:r w:rsidRPr="00E560E0">
        <w:rPr>
          <w:rFonts w:ascii="Meta OFC" w:eastAsia="Calibri" w:hAnsi="Meta OFC" w:cs="Tahoma"/>
          <w:szCs w:val="24"/>
          <w:lang w:val="ro-RO"/>
        </w:rPr>
        <w:t xml:space="preserve">A.O. "CONCORDIA. Proiecte Sociale" </w:t>
      </w:r>
      <w:r w:rsidRPr="00E560E0">
        <w:rPr>
          <w:rFonts w:ascii="Meta OFC" w:eastAsia="Calibri" w:hAnsi="Meta OFC" w:cs="Tahoma"/>
          <w:b/>
          <w:bCs/>
          <w:szCs w:val="24"/>
          <w:lang w:val="ro-RO"/>
        </w:rPr>
        <w:t>este o organizație neguvernamentală internațională, independentă, dedicată sprijinirii copiilor, tinerilor și familiilor aflate în nevoie pentru a avea o viață independentă și responsabilă.</w:t>
      </w:r>
      <w:r w:rsidRPr="00E560E0">
        <w:rPr>
          <w:rFonts w:ascii="Meta OFC" w:eastAsia="Calibri" w:hAnsi="Meta OFC" w:cs="Tahoma"/>
          <w:szCs w:val="24"/>
          <w:lang w:val="ro-RO"/>
        </w:rPr>
        <w:t xml:space="preserve"> </w:t>
      </w:r>
    </w:p>
    <w:p w14:paraId="6949386E" w14:textId="77777777" w:rsidR="00E560E0" w:rsidRPr="00E560E0" w:rsidRDefault="00E06D98" w:rsidP="00E560E0">
      <w:pPr>
        <w:widowControl w:val="0"/>
        <w:tabs>
          <w:tab w:val="left" w:pos="8350"/>
        </w:tabs>
        <w:kinsoku w:val="0"/>
        <w:overflowPunct w:val="0"/>
        <w:autoSpaceDE w:val="0"/>
        <w:autoSpaceDN w:val="0"/>
        <w:adjustRightInd w:val="0"/>
        <w:spacing w:after="120" w:line="23" w:lineRule="atLeast"/>
        <w:rPr>
          <w:rFonts w:ascii="Meta OFC" w:hAnsi="Meta OFC" w:cs="Corbel"/>
          <w:b/>
          <w:bCs/>
          <w:szCs w:val="24"/>
          <w:lang w:val="ro-RO" w:eastAsia="ro-RO"/>
        </w:rPr>
      </w:pPr>
      <w:r w:rsidRPr="00E560E0">
        <w:rPr>
          <w:rFonts w:ascii="Meta OFC" w:hAnsi="Meta OFC" w:cs="Corbel"/>
          <w:b/>
          <w:bCs/>
          <w:szCs w:val="24"/>
          <w:lang w:val="ro-RO" w:eastAsia="ro-RO"/>
        </w:rPr>
        <w:t>Obiectul concursului</w:t>
      </w:r>
      <w:r w:rsidR="00A51D23" w:rsidRPr="00E560E0">
        <w:rPr>
          <w:rFonts w:ascii="Meta OFC" w:hAnsi="Meta OFC" w:cs="Corbel"/>
          <w:b/>
          <w:bCs/>
          <w:szCs w:val="24"/>
          <w:lang w:val="ro-RO" w:eastAsia="ro-RO"/>
        </w:rPr>
        <w:t>.</w:t>
      </w:r>
      <w:r w:rsidRPr="00E560E0">
        <w:rPr>
          <w:rFonts w:ascii="Meta OFC" w:hAnsi="Meta OFC" w:cs="Corbel"/>
          <w:b/>
          <w:bCs/>
          <w:szCs w:val="24"/>
          <w:lang w:val="ro-RO" w:eastAsia="ro-RO"/>
        </w:rPr>
        <w:t xml:space="preserve"> </w:t>
      </w:r>
    </w:p>
    <w:p w14:paraId="3CFAAE89" w14:textId="77777777" w:rsidR="00B24C6F" w:rsidRPr="006D09C2" w:rsidRDefault="00E06D98" w:rsidP="008D3D0B">
      <w:pPr>
        <w:shd w:val="clear" w:color="auto" w:fill="FFFFFF"/>
        <w:spacing w:after="100" w:afterAutospacing="1" w:line="240" w:lineRule="auto"/>
        <w:jc w:val="both"/>
        <w:rPr>
          <w:rFonts w:ascii="Meta OFC" w:eastAsia="Calibri" w:hAnsi="Meta OFC" w:cs="Tahoma"/>
          <w:szCs w:val="24"/>
          <w:lang w:val="ro-RO"/>
        </w:rPr>
      </w:pPr>
      <w:r w:rsidRPr="00E560E0">
        <w:rPr>
          <w:rFonts w:ascii="Meta OFC" w:eastAsia="Calibri" w:hAnsi="Meta OFC" w:cs="Tahoma"/>
          <w:szCs w:val="24"/>
          <w:lang w:val="ro-RO"/>
        </w:rPr>
        <w:t xml:space="preserve">A.O. „CONCORDIA. Proiecte Sociale” anunță concursul pentru selectarea unei companii specializate în producerea, </w:t>
      </w:r>
      <w:r w:rsidRPr="006D09C2">
        <w:rPr>
          <w:rFonts w:ascii="Meta OFC" w:eastAsia="Calibri" w:hAnsi="Meta OFC" w:cs="Tahoma"/>
          <w:szCs w:val="24"/>
          <w:lang w:val="ro-RO"/>
        </w:rPr>
        <w:t xml:space="preserve">vânzarea, </w:t>
      </w:r>
      <w:bookmarkStart w:id="1" w:name="_Hlk194093621"/>
      <w:r w:rsidRPr="006D09C2">
        <w:rPr>
          <w:rFonts w:ascii="Meta OFC" w:eastAsia="Calibri" w:hAnsi="Meta OFC" w:cs="Tahoma"/>
          <w:szCs w:val="24"/>
          <w:lang w:val="ro-RO"/>
        </w:rPr>
        <w:t xml:space="preserve">livrarea </w:t>
      </w:r>
      <w:r w:rsidR="00E560E0" w:rsidRPr="006D09C2">
        <w:rPr>
          <w:rFonts w:ascii="Meta OFC" w:eastAsia="Calibri" w:hAnsi="Meta OFC" w:cs="Tahoma"/>
          <w:szCs w:val="24"/>
        </w:rPr>
        <w:t>și instalarea</w:t>
      </w:r>
      <w:bookmarkEnd w:id="1"/>
      <w:r w:rsidR="00E560E0" w:rsidRPr="006D09C2">
        <w:rPr>
          <w:rFonts w:ascii="Meta OFC" w:eastAsia="Calibri" w:hAnsi="Meta OFC" w:cs="Tahoma"/>
          <w:szCs w:val="24"/>
        </w:rPr>
        <w:t xml:space="preserve"> </w:t>
      </w:r>
      <w:r w:rsidRPr="006D09C2">
        <w:rPr>
          <w:rFonts w:ascii="Meta OFC" w:eastAsia="Calibri" w:hAnsi="Meta OFC" w:cs="Tahoma"/>
          <w:szCs w:val="24"/>
          <w:lang w:val="ro-RO"/>
        </w:rPr>
        <w:t xml:space="preserve">de mobilier școlar destinat dotării Centrelor Multifuncționale din cadrul organizației. </w:t>
      </w:r>
    </w:p>
    <w:p w14:paraId="79CEA9A8" w14:textId="6D24F303" w:rsidR="008D3D0B" w:rsidRPr="00B24C6F" w:rsidRDefault="008D3D0B" w:rsidP="008D3D0B">
      <w:pPr>
        <w:shd w:val="clear" w:color="auto" w:fill="FFFFFF"/>
        <w:spacing w:after="100" w:afterAutospacing="1" w:line="240" w:lineRule="auto"/>
        <w:jc w:val="both"/>
        <w:rPr>
          <w:rFonts w:ascii="Meta OFC" w:eastAsia="Calibri" w:hAnsi="Meta OFC" w:cs="Tahoma"/>
          <w:szCs w:val="24"/>
          <w:lang w:val="ro-RO"/>
        </w:rPr>
      </w:pPr>
      <w:r w:rsidRPr="00B24C6F">
        <w:rPr>
          <w:rFonts w:ascii="Meta OFC" w:eastAsia="Calibri" w:hAnsi="Meta OFC" w:cs="Tahoma"/>
          <w:b/>
          <w:bCs/>
          <w:szCs w:val="24"/>
          <w:lang w:val="ro-RO"/>
        </w:rPr>
        <w:t>Tipuri de servicii solicitate:</w:t>
      </w:r>
      <w:r w:rsidR="00B24C6F">
        <w:rPr>
          <w:rFonts w:ascii="Meta OFC" w:eastAsia="Calibri" w:hAnsi="Meta OFC" w:cs="Tahoma"/>
          <w:b/>
          <w:bCs/>
          <w:szCs w:val="24"/>
          <w:lang w:val="ro-RO"/>
        </w:rPr>
        <w:t xml:space="preserve"> </w:t>
      </w:r>
      <w:r w:rsidR="00F575E8" w:rsidRPr="00B24C6F">
        <w:rPr>
          <w:rFonts w:ascii="Meta OFC" w:eastAsia="Calibri" w:hAnsi="Meta OFC" w:cs="Tahoma"/>
          <w:szCs w:val="24"/>
          <w:lang w:val="ro-RO"/>
        </w:rPr>
        <w:t>producerea</w:t>
      </w:r>
      <w:r w:rsidR="00F34DE8" w:rsidRPr="00B24C6F">
        <w:rPr>
          <w:rFonts w:ascii="Meta OFC" w:eastAsia="Calibri" w:hAnsi="Meta OFC" w:cs="Tahoma"/>
          <w:szCs w:val="24"/>
          <w:lang w:val="ro-RO"/>
        </w:rPr>
        <w:t xml:space="preserve">, </w:t>
      </w:r>
      <w:r w:rsidRPr="00B24C6F">
        <w:rPr>
          <w:rFonts w:ascii="Meta OFC" w:eastAsia="Calibri" w:hAnsi="Meta OFC" w:cs="Tahoma"/>
          <w:szCs w:val="24"/>
          <w:lang w:val="ro-RO"/>
        </w:rPr>
        <w:t xml:space="preserve">vânzarea, </w:t>
      </w:r>
      <w:r w:rsidR="00E560E0" w:rsidRPr="00B24C6F">
        <w:rPr>
          <w:rFonts w:ascii="Meta OFC" w:eastAsia="Calibri" w:hAnsi="Meta OFC" w:cs="Tahoma"/>
          <w:szCs w:val="24"/>
          <w:lang w:val="ro-RO"/>
        </w:rPr>
        <w:t xml:space="preserve">livrarea și instalarea </w:t>
      </w:r>
      <w:r w:rsidRPr="00B24C6F">
        <w:rPr>
          <w:rFonts w:ascii="Meta OFC" w:eastAsia="Calibri" w:hAnsi="Meta OFC" w:cs="Tahoma"/>
          <w:szCs w:val="24"/>
          <w:lang w:val="ro-RO"/>
        </w:rPr>
        <w:t xml:space="preserve">produselor </w:t>
      </w:r>
      <w:r w:rsidR="00E560E0" w:rsidRPr="00B24C6F">
        <w:rPr>
          <w:rFonts w:ascii="Meta OFC" w:eastAsia="Calibri" w:hAnsi="Meta OFC" w:cs="Tahoma"/>
          <w:szCs w:val="24"/>
          <w:lang w:val="ro-RO"/>
        </w:rPr>
        <w:t xml:space="preserve">după </w:t>
      </w:r>
      <w:r w:rsidR="00E90142" w:rsidRPr="00B24C6F">
        <w:rPr>
          <w:rFonts w:ascii="Meta OFC" w:eastAsia="Calibri" w:hAnsi="Meta OFC" w:cs="Tahoma"/>
          <w:szCs w:val="24"/>
          <w:lang w:val="ro-RO"/>
        </w:rPr>
        <w:t xml:space="preserve">descrierea de mai jos. </w:t>
      </w:r>
    </w:p>
    <w:p w14:paraId="084F92B0" w14:textId="3AC36BFC" w:rsidR="008D3D0B" w:rsidRPr="00B24C6F" w:rsidRDefault="001D322B" w:rsidP="00E9350B">
      <w:pPr>
        <w:shd w:val="clear" w:color="auto" w:fill="FFFFFF"/>
        <w:spacing w:before="100" w:beforeAutospacing="1" w:after="100" w:afterAutospacing="1" w:line="240" w:lineRule="auto"/>
        <w:jc w:val="both"/>
        <w:rPr>
          <w:rFonts w:ascii="Meta OFC" w:eastAsia="Calibri" w:hAnsi="Meta OFC" w:cs="Tahoma"/>
          <w:szCs w:val="24"/>
          <w:lang w:val="ro-RO"/>
        </w:rPr>
      </w:pPr>
      <w:r>
        <w:rPr>
          <w:rFonts w:ascii="Meta OFC" w:eastAsia="Calibri" w:hAnsi="Meta OFC" w:cs="Tahoma"/>
          <w:b/>
          <w:bCs/>
          <w:szCs w:val="24"/>
          <w:lang w:val="ro-RO"/>
        </w:rPr>
        <w:t>M</w:t>
      </w:r>
      <w:r w:rsidR="00CB2A33" w:rsidRPr="00B24C6F">
        <w:rPr>
          <w:rFonts w:ascii="Meta OFC" w:eastAsia="Calibri" w:hAnsi="Meta OFC" w:cs="Tahoma"/>
          <w:b/>
          <w:bCs/>
          <w:szCs w:val="24"/>
          <w:lang w:val="ro-RO"/>
        </w:rPr>
        <w:t>obilier școlar:</w:t>
      </w:r>
      <w:r w:rsidR="008D3D0B" w:rsidRPr="00B24C6F">
        <w:rPr>
          <w:rFonts w:ascii="Meta OFC" w:eastAsia="Calibri" w:hAnsi="Meta OFC" w:cs="Tahoma"/>
          <w:szCs w:val="24"/>
          <w:lang w:val="ro-RO"/>
        </w:rPr>
        <w:t> </w:t>
      </w:r>
      <w:r w:rsidR="00E9350B" w:rsidRPr="00B24C6F">
        <w:rPr>
          <w:rFonts w:ascii="Meta OFC" w:eastAsia="Calibri" w:hAnsi="Meta OFC" w:cs="Tahoma"/>
          <w:szCs w:val="24"/>
          <w:lang w:val="ro-RO"/>
        </w:rPr>
        <w:t xml:space="preserve"> mese</w:t>
      </w:r>
      <w:r w:rsidR="00E90142" w:rsidRPr="00B24C6F">
        <w:rPr>
          <w:rFonts w:ascii="Meta OFC" w:eastAsia="Calibri" w:hAnsi="Meta OFC" w:cs="Tahoma"/>
          <w:szCs w:val="24"/>
          <w:lang w:val="ro-RO"/>
        </w:rPr>
        <w:t xml:space="preserve"> școlare de</w:t>
      </w:r>
      <w:r w:rsidR="00E9350B" w:rsidRPr="00B24C6F">
        <w:rPr>
          <w:rFonts w:ascii="Meta OFC" w:eastAsia="Calibri" w:hAnsi="Meta OFC" w:cs="Tahoma"/>
          <w:szCs w:val="24"/>
          <w:lang w:val="ro-RO"/>
        </w:rPr>
        <w:t xml:space="preserve"> tip petală</w:t>
      </w:r>
      <w:r>
        <w:rPr>
          <w:rFonts w:ascii="Meta OFC" w:eastAsia="Calibri" w:hAnsi="Meta OFC" w:cs="Tahoma"/>
          <w:szCs w:val="24"/>
          <w:lang w:val="ro-RO"/>
        </w:rPr>
        <w:t xml:space="preserve">, </w:t>
      </w:r>
      <w:r w:rsidR="00E9350B" w:rsidRPr="00B24C6F">
        <w:rPr>
          <w:rFonts w:ascii="Meta OFC" w:eastAsia="Calibri" w:hAnsi="Meta OFC" w:cs="Tahoma"/>
          <w:szCs w:val="24"/>
          <w:lang w:val="ro-RO"/>
        </w:rPr>
        <w:t>scaun</w:t>
      </w:r>
      <w:r>
        <w:rPr>
          <w:rFonts w:ascii="Meta OFC" w:eastAsia="Calibri" w:hAnsi="Meta OFC" w:cs="Tahoma"/>
          <w:szCs w:val="24"/>
          <w:lang w:val="ro-RO"/>
        </w:rPr>
        <w:t>e</w:t>
      </w:r>
      <w:r w:rsidR="00E9350B" w:rsidRPr="00B24C6F">
        <w:rPr>
          <w:rFonts w:ascii="Meta OFC" w:eastAsia="Calibri" w:hAnsi="Meta OFC" w:cs="Tahoma"/>
          <w:szCs w:val="24"/>
          <w:lang w:val="ro-RO"/>
        </w:rPr>
        <w:t xml:space="preserve"> școlar</w:t>
      </w:r>
      <w:r>
        <w:rPr>
          <w:rFonts w:ascii="Meta OFC" w:eastAsia="Calibri" w:hAnsi="Meta OFC" w:cs="Tahoma"/>
          <w:szCs w:val="24"/>
          <w:lang w:val="ro-RO"/>
        </w:rPr>
        <w:t>e</w:t>
      </w:r>
      <w:r w:rsidR="004D272F" w:rsidRPr="00B24C6F">
        <w:rPr>
          <w:rFonts w:ascii="Meta OFC" w:eastAsia="Calibri" w:hAnsi="Meta OFC" w:cs="Tahoma"/>
          <w:szCs w:val="24"/>
          <w:lang w:val="ro-RO"/>
        </w:rPr>
        <w:t xml:space="preserve"> (exemplu se anexează)</w:t>
      </w:r>
      <w:r>
        <w:rPr>
          <w:rFonts w:ascii="Meta OFC" w:eastAsia="Calibri" w:hAnsi="Meta OFC" w:cs="Tahoma"/>
          <w:szCs w:val="24"/>
          <w:lang w:val="ro-RO"/>
        </w:rPr>
        <w:t>,</w:t>
      </w:r>
      <w:r w:rsidR="001E1A4D">
        <w:rPr>
          <w:rFonts w:ascii="Meta OFC" w:eastAsia="Calibri" w:hAnsi="Meta OFC" w:cs="Tahoma"/>
          <w:szCs w:val="24"/>
          <w:lang w:val="ro-RO"/>
        </w:rPr>
        <w:t xml:space="preserve"> dulap</w:t>
      </w:r>
      <w:r>
        <w:rPr>
          <w:rFonts w:ascii="Meta OFC" w:eastAsia="Calibri" w:hAnsi="Meta OFC" w:cs="Tahoma"/>
          <w:szCs w:val="24"/>
          <w:lang w:val="ro-RO"/>
        </w:rPr>
        <w:t>uri</w:t>
      </w:r>
      <w:r w:rsidR="001E1A4D">
        <w:rPr>
          <w:rFonts w:ascii="Meta OFC" w:eastAsia="Calibri" w:hAnsi="Meta OFC" w:cs="Tahoma"/>
          <w:szCs w:val="24"/>
          <w:lang w:val="ro-RO"/>
        </w:rPr>
        <w:t xml:space="preserve"> cu rafturi</w:t>
      </w:r>
      <w:r w:rsidR="0042296A">
        <w:rPr>
          <w:rFonts w:ascii="Meta OFC" w:eastAsia="Calibri" w:hAnsi="Meta OFC" w:cs="Tahoma"/>
          <w:szCs w:val="24"/>
          <w:lang w:val="ro-RO"/>
        </w:rPr>
        <w:t xml:space="preserve"> și tabl</w:t>
      </w:r>
      <w:r>
        <w:rPr>
          <w:rFonts w:ascii="Meta OFC" w:eastAsia="Calibri" w:hAnsi="Meta OFC" w:cs="Tahoma"/>
          <w:szCs w:val="24"/>
          <w:lang w:val="ro-RO"/>
        </w:rPr>
        <w:t>e</w:t>
      </w:r>
      <w:r w:rsidR="0042296A">
        <w:rPr>
          <w:rFonts w:ascii="Meta OFC" w:eastAsia="Calibri" w:hAnsi="Meta OFC" w:cs="Tahoma"/>
          <w:szCs w:val="24"/>
          <w:lang w:val="ro-RO"/>
        </w:rPr>
        <w:t xml:space="preserve"> școlar</w:t>
      </w:r>
      <w:r>
        <w:rPr>
          <w:rFonts w:ascii="Meta OFC" w:eastAsia="Calibri" w:hAnsi="Meta OFC" w:cs="Tahoma"/>
          <w:szCs w:val="24"/>
          <w:lang w:val="ro-RO"/>
        </w:rPr>
        <w:t>e,</w:t>
      </w:r>
      <w:r w:rsidR="001E1A4D">
        <w:rPr>
          <w:rFonts w:ascii="Meta OFC" w:eastAsia="Calibri" w:hAnsi="Meta OFC" w:cs="Tahoma"/>
          <w:szCs w:val="24"/>
          <w:lang w:val="ro-RO"/>
        </w:rPr>
        <w:t xml:space="preserve"> în localitățile</w:t>
      </w:r>
      <w:r w:rsidR="00511527">
        <w:rPr>
          <w:rFonts w:ascii="Meta OFC" w:eastAsia="Calibri" w:hAnsi="Meta OFC" w:cs="Tahoma"/>
          <w:szCs w:val="24"/>
          <w:lang w:val="ro-RO"/>
        </w:rPr>
        <w:t xml:space="preserve"> menționate în Anexa 3</w:t>
      </w:r>
      <w:r w:rsidR="008D3D0B" w:rsidRPr="00B24C6F">
        <w:rPr>
          <w:rFonts w:ascii="Meta OFC" w:eastAsia="Calibri" w:hAnsi="Meta OFC" w:cs="Tahoma"/>
          <w:szCs w:val="24"/>
          <w:lang w:val="ro-RO"/>
        </w:rPr>
        <w:t>:</w:t>
      </w:r>
      <w:r w:rsidR="001E1A4D">
        <w:rPr>
          <w:rFonts w:ascii="Meta OFC" w:eastAsia="Calibri" w:hAnsi="Meta OFC" w:cs="Tahoma"/>
          <w:szCs w:val="24"/>
          <w:lang w:val="ro-RO"/>
        </w:rPr>
        <w:t xml:space="preserve"> </w:t>
      </w:r>
    </w:p>
    <w:tbl>
      <w:tblPr>
        <w:tblStyle w:val="TableGrid"/>
        <w:tblW w:w="9265" w:type="dxa"/>
        <w:tblLook w:val="04A0" w:firstRow="1" w:lastRow="0" w:firstColumn="1" w:lastColumn="0" w:noHBand="0" w:noVBand="1"/>
      </w:tblPr>
      <w:tblGrid>
        <w:gridCol w:w="2627"/>
        <w:gridCol w:w="3038"/>
        <w:gridCol w:w="3600"/>
      </w:tblGrid>
      <w:tr w:rsidR="00E90142" w:rsidRPr="0098204F" w14:paraId="6BD34E9E" w14:textId="7FE5D242" w:rsidTr="001D322B">
        <w:tc>
          <w:tcPr>
            <w:tcW w:w="2627" w:type="dxa"/>
          </w:tcPr>
          <w:p w14:paraId="552EFB9E" w14:textId="3ED18355" w:rsidR="00E90142" w:rsidRPr="001D322B" w:rsidRDefault="00E90142" w:rsidP="002E37B1">
            <w:pPr>
              <w:rPr>
                <w:rStyle w:val="Strong"/>
                <w:rFonts w:ascii="Meta OFC" w:hAnsi="Meta OFC"/>
                <w:shd w:val="clear" w:color="auto" w:fill="FFFFFF"/>
              </w:rPr>
            </w:pPr>
          </w:p>
        </w:tc>
        <w:tc>
          <w:tcPr>
            <w:tcW w:w="3038" w:type="dxa"/>
          </w:tcPr>
          <w:p w14:paraId="135E6DD9" w14:textId="77777777" w:rsidR="00E90142" w:rsidRPr="001D322B" w:rsidRDefault="00E90142" w:rsidP="0001361B">
            <w:pPr>
              <w:shd w:val="clear" w:color="auto" w:fill="FFFFFF"/>
              <w:rPr>
                <w:rFonts w:ascii="Meta OFC" w:eastAsia="Times New Roman" w:hAnsi="Meta OFC" w:cs="Times New Roman"/>
                <w:b/>
                <w:bCs/>
                <w:kern w:val="0"/>
                <w:lang w:eastAsia="ro-MD"/>
                <w14:ligatures w14:val="none"/>
              </w:rPr>
            </w:pPr>
            <w:r w:rsidRPr="001D322B">
              <w:rPr>
                <w:rFonts w:ascii="Meta OFC" w:eastAsia="Times New Roman" w:hAnsi="Meta OFC" w:cs="Times New Roman"/>
                <w:b/>
                <w:bCs/>
                <w:kern w:val="0"/>
                <w:lang w:eastAsia="ro-MD"/>
                <w14:ligatures w14:val="none"/>
              </w:rPr>
              <w:t>Dimensiuni</w:t>
            </w:r>
          </w:p>
          <w:p w14:paraId="6ECF9A12" w14:textId="382F87BB" w:rsidR="00E90142" w:rsidRPr="001D322B" w:rsidRDefault="00E90142" w:rsidP="002E37B1">
            <w:pPr>
              <w:rPr>
                <w:rStyle w:val="Strong"/>
                <w:rFonts w:ascii="Meta OFC" w:hAnsi="Meta OFC"/>
                <w:shd w:val="clear" w:color="auto" w:fill="FFFFFF"/>
              </w:rPr>
            </w:pPr>
          </w:p>
        </w:tc>
        <w:tc>
          <w:tcPr>
            <w:tcW w:w="3600" w:type="dxa"/>
          </w:tcPr>
          <w:p w14:paraId="2EC02DE1" w14:textId="38B453A5" w:rsidR="00E90142" w:rsidRPr="001D322B" w:rsidRDefault="00E90142" w:rsidP="0001361B">
            <w:pPr>
              <w:shd w:val="clear" w:color="auto" w:fill="FFFFFF"/>
              <w:rPr>
                <w:rFonts w:ascii="Meta OFC" w:eastAsia="Times New Roman" w:hAnsi="Meta OFC" w:cs="Times New Roman"/>
                <w:b/>
                <w:bCs/>
                <w:kern w:val="0"/>
                <w:lang w:eastAsia="ro-MD"/>
                <w14:ligatures w14:val="none"/>
              </w:rPr>
            </w:pPr>
            <w:r w:rsidRPr="001D322B">
              <w:rPr>
                <w:rFonts w:ascii="Meta OFC" w:eastAsia="Times New Roman" w:hAnsi="Meta OFC" w:cs="Times New Roman"/>
                <w:b/>
                <w:bCs/>
                <w:kern w:val="0"/>
                <w:lang w:eastAsia="ro-MD"/>
                <w14:ligatures w14:val="none"/>
              </w:rPr>
              <w:t>Cantitate</w:t>
            </w:r>
          </w:p>
        </w:tc>
      </w:tr>
      <w:tr w:rsidR="001D322B" w:rsidRPr="0098204F" w14:paraId="25EF206F" w14:textId="77777777" w:rsidTr="001D322B">
        <w:tc>
          <w:tcPr>
            <w:tcW w:w="9265" w:type="dxa"/>
            <w:gridSpan w:val="3"/>
          </w:tcPr>
          <w:p w14:paraId="74BA30CD" w14:textId="0851FB11" w:rsidR="001D322B" w:rsidRPr="001D322B" w:rsidRDefault="001D322B" w:rsidP="0001361B">
            <w:pPr>
              <w:shd w:val="clear" w:color="auto" w:fill="FFFFFF"/>
              <w:rPr>
                <w:rFonts w:ascii="Meta OFC" w:eastAsia="Times New Roman" w:hAnsi="Meta OFC" w:cs="Times New Roman"/>
                <w:b/>
                <w:bCs/>
                <w:kern w:val="0"/>
                <w:lang w:eastAsia="ro-MD"/>
                <w14:ligatures w14:val="none"/>
              </w:rPr>
            </w:pPr>
            <w:r w:rsidRPr="001D322B">
              <w:rPr>
                <w:rStyle w:val="Strong"/>
                <w:rFonts w:ascii="Meta OFC" w:hAnsi="Meta OFC"/>
                <w:shd w:val="clear" w:color="auto" w:fill="FFFFFF"/>
              </w:rPr>
              <w:t>Banca școlara individuală, model Petală, reglabilă pe înălțime, pentru grupurile cu vârstă 7-16 ani</w:t>
            </w:r>
          </w:p>
        </w:tc>
      </w:tr>
      <w:tr w:rsidR="00E90142" w:rsidRPr="0098204F" w14:paraId="4AA977A9" w14:textId="1DACECFA" w:rsidTr="001D322B">
        <w:trPr>
          <w:trHeight w:val="620"/>
        </w:trPr>
        <w:tc>
          <w:tcPr>
            <w:tcW w:w="2627" w:type="dxa"/>
          </w:tcPr>
          <w:p w14:paraId="14EF18CD" w14:textId="03130CAA" w:rsidR="00E90142" w:rsidRPr="001D322B" w:rsidRDefault="00E90142" w:rsidP="0001361B">
            <w:pPr>
              <w:shd w:val="clear" w:color="auto" w:fill="FFFFFF"/>
              <w:rPr>
                <w:rStyle w:val="Strong"/>
                <w:rFonts w:ascii="Meta OFC" w:hAnsi="Meta OFC"/>
                <w:b w:val="0"/>
                <w:bCs w:val="0"/>
                <w:shd w:val="clear" w:color="auto" w:fill="FFFFFF"/>
              </w:rPr>
            </w:pPr>
            <w:r w:rsidRPr="001D322B">
              <w:rPr>
                <w:rFonts w:ascii="Meta OFC" w:eastAsia="Times New Roman" w:hAnsi="Meta OFC" w:cs="Times New Roman"/>
                <w:kern w:val="0"/>
                <w:lang w:eastAsia="ro-MD"/>
                <w14:ligatures w14:val="none"/>
              </w:rPr>
              <w:t>Clasa 1-4</w:t>
            </w:r>
          </w:p>
        </w:tc>
        <w:tc>
          <w:tcPr>
            <w:tcW w:w="3038" w:type="dxa"/>
          </w:tcPr>
          <w:p w14:paraId="591893FE" w14:textId="77777777" w:rsidR="00E90142" w:rsidRPr="001D322B" w:rsidRDefault="00E90142" w:rsidP="0001361B">
            <w:pPr>
              <w:shd w:val="clear" w:color="auto" w:fill="FFFFFF"/>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730*730*750 mm</w:t>
            </w:r>
          </w:p>
          <w:p w14:paraId="339733C2" w14:textId="77777777" w:rsidR="00E90142" w:rsidRPr="001D322B" w:rsidRDefault="00E90142" w:rsidP="002E37B1">
            <w:pPr>
              <w:rPr>
                <w:rStyle w:val="Strong"/>
                <w:rFonts w:ascii="Meta OFC" w:hAnsi="Meta OFC"/>
                <w:b w:val="0"/>
                <w:bCs w:val="0"/>
                <w:shd w:val="clear" w:color="auto" w:fill="FFFFFF"/>
              </w:rPr>
            </w:pPr>
          </w:p>
        </w:tc>
        <w:tc>
          <w:tcPr>
            <w:tcW w:w="3600" w:type="dxa"/>
          </w:tcPr>
          <w:p w14:paraId="0E0BFD4D" w14:textId="328974F3" w:rsidR="00E90142" w:rsidRPr="001D322B" w:rsidRDefault="00E90142" w:rsidP="0001361B">
            <w:pPr>
              <w:shd w:val="clear" w:color="auto" w:fill="FFFFFF"/>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50 unități</w:t>
            </w:r>
          </w:p>
        </w:tc>
      </w:tr>
      <w:tr w:rsidR="00E90142" w:rsidRPr="0098204F" w14:paraId="166FA9E8" w14:textId="7D013B93" w:rsidTr="001D322B">
        <w:trPr>
          <w:trHeight w:val="530"/>
        </w:trPr>
        <w:tc>
          <w:tcPr>
            <w:tcW w:w="2627" w:type="dxa"/>
          </w:tcPr>
          <w:p w14:paraId="2C2B714C" w14:textId="30DF56D6" w:rsidR="00E90142" w:rsidRPr="001D322B" w:rsidRDefault="00E90142" w:rsidP="002E37B1">
            <w:pPr>
              <w:rPr>
                <w:rStyle w:val="Strong"/>
                <w:rFonts w:ascii="Meta OFC" w:hAnsi="Meta OFC"/>
                <w:b w:val="0"/>
                <w:bCs w:val="0"/>
                <w:shd w:val="clear" w:color="auto" w:fill="FFFFFF"/>
              </w:rPr>
            </w:pPr>
            <w:r w:rsidRPr="001D322B">
              <w:rPr>
                <w:rFonts w:ascii="Meta OFC" w:eastAsia="Times New Roman" w:hAnsi="Meta OFC" w:cs="Times New Roman"/>
                <w:kern w:val="0"/>
                <w:lang w:eastAsia="ro-MD"/>
                <w14:ligatures w14:val="none"/>
              </w:rPr>
              <w:t>Clasa 5-9</w:t>
            </w:r>
          </w:p>
        </w:tc>
        <w:tc>
          <w:tcPr>
            <w:tcW w:w="3038" w:type="dxa"/>
          </w:tcPr>
          <w:p w14:paraId="56F6E212" w14:textId="77777777" w:rsidR="00E90142" w:rsidRPr="001D322B" w:rsidRDefault="00E90142" w:rsidP="0001361B">
            <w:pPr>
              <w:shd w:val="clear" w:color="auto" w:fill="FFFFFF"/>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760*790*750 mm</w:t>
            </w:r>
          </w:p>
          <w:p w14:paraId="19A62895" w14:textId="77777777" w:rsidR="00E90142" w:rsidRPr="001D322B" w:rsidRDefault="00E90142" w:rsidP="002E37B1">
            <w:pPr>
              <w:rPr>
                <w:rStyle w:val="Strong"/>
                <w:rFonts w:ascii="Meta OFC" w:hAnsi="Meta OFC"/>
                <w:b w:val="0"/>
                <w:bCs w:val="0"/>
                <w:shd w:val="clear" w:color="auto" w:fill="FFFFFF"/>
              </w:rPr>
            </w:pPr>
          </w:p>
        </w:tc>
        <w:tc>
          <w:tcPr>
            <w:tcW w:w="3600" w:type="dxa"/>
          </w:tcPr>
          <w:p w14:paraId="335776FB" w14:textId="1BFC0586" w:rsidR="00E90142" w:rsidRPr="001D322B" w:rsidRDefault="008D6196" w:rsidP="0001361B">
            <w:pPr>
              <w:shd w:val="clear" w:color="auto" w:fill="FFFFFF"/>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80</w:t>
            </w:r>
            <w:r w:rsidR="00E90142" w:rsidRPr="001D322B">
              <w:rPr>
                <w:rFonts w:ascii="Meta OFC" w:eastAsia="Times New Roman" w:hAnsi="Meta OFC" w:cs="Times New Roman"/>
                <w:kern w:val="0"/>
                <w:lang w:eastAsia="ro-MD"/>
                <w14:ligatures w14:val="none"/>
              </w:rPr>
              <w:t xml:space="preserve"> unități</w:t>
            </w:r>
          </w:p>
        </w:tc>
      </w:tr>
      <w:tr w:rsidR="001D322B" w:rsidRPr="0098204F" w14:paraId="6708FC9C" w14:textId="3D7C4956" w:rsidTr="001D322B">
        <w:trPr>
          <w:trHeight w:val="440"/>
        </w:trPr>
        <w:tc>
          <w:tcPr>
            <w:tcW w:w="9265" w:type="dxa"/>
            <w:gridSpan w:val="3"/>
          </w:tcPr>
          <w:p w14:paraId="64162D06" w14:textId="20446DAF" w:rsidR="001D322B" w:rsidRPr="001D322B" w:rsidRDefault="001D322B" w:rsidP="0001361B">
            <w:pPr>
              <w:shd w:val="clear" w:color="auto" w:fill="FFFFFF"/>
              <w:rPr>
                <w:rStyle w:val="Strong"/>
                <w:rFonts w:ascii="Meta OFC" w:eastAsia="Times New Roman" w:hAnsi="Meta OFC" w:cs="Times New Roman"/>
                <w:b w:val="0"/>
                <w:bCs w:val="0"/>
                <w:kern w:val="0"/>
                <w:lang w:eastAsia="ro-MD"/>
                <w14:ligatures w14:val="none"/>
              </w:rPr>
            </w:pPr>
            <w:r w:rsidRPr="001D322B">
              <w:rPr>
                <w:rStyle w:val="Strong"/>
                <w:rFonts w:ascii="Meta OFC" w:hAnsi="Meta OFC"/>
                <w:shd w:val="clear" w:color="auto" w:fill="FFFFFF"/>
              </w:rPr>
              <w:t>Scaun școlar reglabil pe înălțime pentru grupurile cu vârstă 7-16 ani</w:t>
            </w:r>
          </w:p>
        </w:tc>
      </w:tr>
      <w:tr w:rsidR="00E90142" w:rsidRPr="0098204F" w14:paraId="1CA2993C" w14:textId="41CA35A4" w:rsidTr="001D322B">
        <w:trPr>
          <w:trHeight w:val="530"/>
        </w:trPr>
        <w:tc>
          <w:tcPr>
            <w:tcW w:w="2627" w:type="dxa"/>
          </w:tcPr>
          <w:p w14:paraId="49307AB5" w14:textId="5B704248" w:rsidR="00E90142" w:rsidRPr="001D322B" w:rsidRDefault="00E90142" w:rsidP="0001361B">
            <w:pPr>
              <w:rPr>
                <w:rStyle w:val="Strong"/>
                <w:rFonts w:ascii="Meta OFC" w:hAnsi="Meta OFC"/>
                <w:shd w:val="clear" w:color="auto" w:fill="FFFFFF"/>
              </w:rPr>
            </w:pPr>
            <w:r w:rsidRPr="001D322B">
              <w:rPr>
                <w:rFonts w:ascii="Meta OFC" w:eastAsia="Times New Roman" w:hAnsi="Meta OFC" w:cs="Times New Roman"/>
                <w:kern w:val="0"/>
                <w:lang w:eastAsia="ro-MD"/>
                <w14:ligatures w14:val="none"/>
              </w:rPr>
              <w:t>Clasa 1-4</w:t>
            </w:r>
          </w:p>
        </w:tc>
        <w:tc>
          <w:tcPr>
            <w:tcW w:w="3038" w:type="dxa"/>
          </w:tcPr>
          <w:p w14:paraId="352F43FB" w14:textId="2B7A15F7" w:rsidR="00E90142" w:rsidRPr="001D322B" w:rsidRDefault="00E90142" w:rsidP="0001361B">
            <w:pPr>
              <w:rPr>
                <w:rStyle w:val="Strong"/>
                <w:rFonts w:ascii="Meta OFC" w:hAnsi="Meta OFC"/>
                <w:shd w:val="clear" w:color="auto" w:fill="FFFFFF"/>
              </w:rPr>
            </w:pPr>
            <w:r w:rsidRPr="001D322B">
              <w:rPr>
                <w:rFonts w:ascii="Meta OFC" w:eastAsia="Times New Roman" w:hAnsi="Meta OFC" w:cs="Times New Roman"/>
                <w:kern w:val="0"/>
                <w:lang w:eastAsia="ro-MD"/>
                <w14:ligatures w14:val="none"/>
              </w:rPr>
              <w:t>440x450xH4</w:t>
            </w:r>
            <w:r w:rsidR="002B618A" w:rsidRPr="001D322B">
              <w:rPr>
                <w:rFonts w:ascii="Meta OFC" w:eastAsia="Times New Roman" w:hAnsi="Meta OFC" w:cs="Times New Roman"/>
                <w:kern w:val="0"/>
                <w:lang w:eastAsia="ro-MD"/>
                <w14:ligatures w14:val="none"/>
              </w:rPr>
              <w:t>2</w:t>
            </w:r>
            <w:r w:rsidRPr="001D322B">
              <w:rPr>
                <w:rFonts w:ascii="Meta OFC" w:eastAsia="Times New Roman" w:hAnsi="Meta OFC" w:cs="Times New Roman"/>
                <w:kern w:val="0"/>
                <w:lang w:eastAsia="ro-MD"/>
                <w14:ligatures w14:val="none"/>
              </w:rPr>
              <w:t>0mm</w:t>
            </w:r>
          </w:p>
        </w:tc>
        <w:tc>
          <w:tcPr>
            <w:tcW w:w="3600" w:type="dxa"/>
          </w:tcPr>
          <w:p w14:paraId="2726F8CB" w14:textId="77777777" w:rsidR="00E90142" w:rsidRPr="001D322B" w:rsidRDefault="00E90142" w:rsidP="00E90142">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50 unități</w:t>
            </w:r>
          </w:p>
          <w:p w14:paraId="0578B517" w14:textId="1665C77A" w:rsidR="00E90142" w:rsidRPr="001D322B" w:rsidRDefault="00E90142" w:rsidP="00E90142">
            <w:pPr>
              <w:rPr>
                <w:rFonts w:ascii="Meta OFC" w:eastAsia="Times New Roman" w:hAnsi="Meta OFC" w:cs="Times New Roman"/>
                <w:kern w:val="0"/>
                <w:lang w:eastAsia="ro-MD"/>
                <w14:ligatures w14:val="none"/>
              </w:rPr>
            </w:pPr>
          </w:p>
        </w:tc>
      </w:tr>
      <w:tr w:rsidR="00E90142" w:rsidRPr="0098204F" w14:paraId="640F4A6A" w14:textId="77777777" w:rsidTr="001D322B">
        <w:trPr>
          <w:trHeight w:val="530"/>
        </w:trPr>
        <w:tc>
          <w:tcPr>
            <w:tcW w:w="2627" w:type="dxa"/>
          </w:tcPr>
          <w:p w14:paraId="00010F15" w14:textId="7CABB37F" w:rsidR="00E90142" w:rsidRPr="001D322B" w:rsidRDefault="00E90142" w:rsidP="0001361B">
            <w:pPr>
              <w:rPr>
                <w:rStyle w:val="Strong"/>
                <w:rFonts w:ascii="Meta OFC" w:hAnsi="Meta OFC"/>
                <w:shd w:val="clear" w:color="auto" w:fill="FFFFFF"/>
              </w:rPr>
            </w:pPr>
            <w:r w:rsidRPr="001D322B">
              <w:rPr>
                <w:rFonts w:ascii="Meta OFC" w:eastAsia="Times New Roman" w:hAnsi="Meta OFC" w:cs="Times New Roman"/>
                <w:kern w:val="0"/>
                <w:lang w:eastAsia="ro-MD"/>
                <w14:ligatures w14:val="none"/>
              </w:rPr>
              <w:t>Clasa 5-9</w:t>
            </w:r>
          </w:p>
        </w:tc>
        <w:tc>
          <w:tcPr>
            <w:tcW w:w="3038" w:type="dxa"/>
          </w:tcPr>
          <w:p w14:paraId="43AC4702" w14:textId="1884A9E5" w:rsidR="00E90142" w:rsidRPr="001D322B" w:rsidRDefault="00E90142" w:rsidP="0001361B">
            <w:pPr>
              <w:rPr>
                <w:rFonts w:ascii="Meta OFC" w:eastAsia="Times New Roman" w:hAnsi="Meta OFC" w:cs="Times New Roman"/>
                <w:kern w:val="0"/>
                <w:highlight w:val="yellow"/>
                <w:lang w:eastAsia="ro-MD"/>
                <w14:ligatures w14:val="none"/>
              </w:rPr>
            </w:pPr>
            <w:r w:rsidRPr="001D322B">
              <w:rPr>
                <w:rFonts w:ascii="Meta OFC" w:eastAsia="Times New Roman" w:hAnsi="Meta OFC" w:cs="Times New Roman"/>
                <w:kern w:val="0"/>
                <w:lang w:eastAsia="ro-MD"/>
                <w14:ligatures w14:val="none"/>
              </w:rPr>
              <w:t>440x450xH460mm</w:t>
            </w:r>
          </w:p>
        </w:tc>
        <w:tc>
          <w:tcPr>
            <w:tcW w:w="3600" w:type="dxa"/>
          </w:tcPr>
          <w:p w14:paraId="30BD2A5F" w14:textId="7F0E874E" w:rsidR="00E90142" w:rsidRPr="001D322B" w:rsidRDefault="00D93231" w:rsidP="0001361B">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80</w:t>
            </w:r>
            <w:r w:rsidR="00E90142" w:rsidRPr="001D322B">
              <w:rPr>
                <w:rFonts w:ascii="Meta OFC" w:eastAsia="Times New Roman" w:hAnsi="Meta OFC" w:cs="Times New Roman"/>
                <w:kern w:val="0"/>
                <w:lang w:eastAsia="ro-MD"/>
                <w14:ligatures w14:val="none"/>
              </w:rPr>
              <w:t xml:space="preserve"> unități</w:t>
            </w:r>
          </w:p>
        </w:tc>
      </w:tr>
      <w:tr w:rsidR="001D322B" w:rsidRPr="0098204F" w14:paraId="32AF403E" w14:textId="77777777" w:rsidTr="001D322B">
        <w:trPr>
          <w:trHeight w:val="440"/>
        </w:trPr>
        <w:tc>
          <w:tcPr>
            <w:tcW w:w="9265" w:type="dxa"/>
            <w:gridSpan w:val="3"/>
          </w:tcPr>
          <w:p w14:paraId="34FEEBF7" w14:textId="56A7D7E4" w:rsidR="001D322B" w:rsidRPr="001D322B" w:rsidRDefault="001D322B" w:rsidP="0001361B">
            <w:pPr>
              <w:rPr>
                <w:rFonts w:ascii="Meta OFC" w:eastAsia="Times New Roman" w:hAnsi="Meta OFC" w:cs="Times New Roman"/>
                <w:b/>
                <w:bCs/>
                <w:kern w:val="0"/>
                <w:lang w:eastAsia="ro-MD"/>
                <w14:ligatures w14:val="none"/>
              </w:rPr>
            </w:pPr>
            <w:r w:rsidRPr="001D322B">
              <w:rPr>
                <w:rFonts w:ascii="Meta OFC" w:eastAsia="Times New Roman" w:hAnsi="Meta OFC" w:cs="Times New Roman"/>
                <w:b/>
                <w:bCs/>
                <w:kern w:val="0"/>
                <w:lang w:eastAsia="ro-MD"/>
                <w14:ligatures w14:val="none"/>
              </w:rPr>
              <w:t>Tablă școlară (liniată în pătrățele pentru cretă)</w:t>
            </w:r>
          </w:p>
        </w:tc>
      </w:tr>
      <w:tr w:rsidR="0042296A" w:rsidRPr="0042296A" w14:paraId="6F254946" w14:textId="77777777" w:rsidTr="001D322B">
        <w:trPr>
          <w:trHeight w:val="874"/>
        </w:trPr>
        <w:tc>
          <w:tcPr>
            <w:tcW w:w="2627" w:type="dxa"/>
          </w:tcPr>
          <w:p w14:paraId="5529C3E8" w14:textId="12EFE19D" w:rsidR="0042296A" w:rsidRPr="001D322B" w:rsidRDefault="0042296A" w:rsidP="0001361B">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Tablă școlară</w:t>
            </w:r>
            <w:r w:rsidR="00F221C6" w:rsidRPr="001D322B">
              <w:rPr>
                <w:rFonts w:ascii="Meta OFC" w:eastAsia="Times New Roman" w:hAnsi="Meta OFC" w:cs="Times New Roman"/>
                <w:kern w:val="0"/>
                <w:lang w:eastAsia="ro-MD"/>
                <w14:ligatures w14:val="none"/>
              </w:rPr>
              <w:t xml:space="preserve"> (liniată în pătrățele pentru cretă</w:t>
            </w:r>
            <w:r w:rsidR="00B33FEF" w:rsidRPr="001D322B">
              <w:rPr>
                <w:rFonts w:ascii="Meta OFC" w:eastAsia="Times New Roman" w:hAnsi="Meta OFC" w:cs="Times New Roman"/>
                <w:kern w:val="0"/>
                <w:lang w:eastAsia="ro-MD"/>
                <w14:ligatures w14:val="none"/>
              </w:rPr>
              <w:t>)</w:t>
            </w:r>
          </w:p>
        </w:tc>
        <w:tc>
          <w:tcPr>
            <w:tcW w:w="3038" w:type="dxa"/>
          </w:tcPr>
          <w:p w14:paraId="3E4D77D1" w14:textId="144F4806" w:rsidR="0042296A" w:rsidRPr="001D322B" w:rsidRDefault="0042296A" w:rsidP="0042296A">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1500x1000 mm</w:t>
            </w:r>
          </w:p>
        </w:tc>
        <w:tc>
          <w:tcPr>
            <w:tcW w:w="3600" w:type="dxa"/>
          </w:tcPr>
          <w:p w14:paraId="3CFA7347" w14:textId="56298C15" w:rsidR="0042296A" w:rsidRPr="001D322B" w:rsidRDefault="00B33FEF" w:rsidP="0001361B">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7</w:t>
            </w:r>
            <w:r w:rsidR="0042296A" w:rsidRPr="001D322B">
              <w:rPr>
                <w:rFonts w:ascii="Meta OFC" w:eastAsia="Times New Roman" w:hAnsi="Meta OFC" w:cs="Times New Roman"/>
                <w:kern w:val="0"/>
                <w:lang w:eastAsia="ro-MD"/>
                <w14:ligatures w14:val="none"/>
              </w:rPr>
              <w:t xml:space="preserve"> unități</w:t>
            </w:r>
          </w:p>
        </w:tc>
      </w:tr>
      <w:tr w:rsidR="001D322B" w:rsidRPr="0042296A" w14:paraId="1F014C9E" w14:textId="77777777" w:rsidTr="001D322B">
        <w:trPr>
          <w:trHeight w:val="458"/>
        </w:trPr>
        <w:tc>
          <w:tcPr>
            <w:tcW w:w="9265" w:type="dxa"/>
            <w:gridSpan w:val="3"/>
          </w:tcPr>
          <w:p w14:paraId="5EF95A12" w14:textId="5F913D99" w:rsidR="001D322B" w:rsidRPr="001D322B" w:rsidRDefault="001D322B" w:rsidP="0001361B">
            <w:pPr>
              <w:rPr>
                <w:rFonts w:ascii="Meta OFC" w:eastAsia="Times New Roman" w:hAnsi="Meta OFC" w:cs="Times New Roman"/>
                <w:b/>
                <w:bCs/>
                <w:kern w:val="0"/>
                <w:lang w:eastAsia="ro-MD"/>
                <w14:ligatures w14:val="none"/>
              </w:rPr>
            </w:pPr>
            <w:r w:rsidRPr="001D322B">
              <w:rPr>
                <w:rFonts w:ascii="Meta OFC" w:eastAsia="Times New Roman" w:hAnsi="Meta OFC" w:cs="Times New Roman"/>
                <w:b/>
                <w:bCs/>
                <w:kern w:val="0"/>
                <w:lang w:eastAsia="ro-MD"/>
                <w14:ligatures w14:val="none"/>
              </w:rPr>
              <w:t>Dulap cu rafturi</w:t>
            </w:r>
          </w:p>
        </w:tc>
      </w:tr>
      <w:tr w:rsidR="001D322B" w:rsidRPr="0042296A" w14:paraId="2C81D37C" w14:textId="77777777" w:rsidTr="001D322B">
        <w:trPr>
          <w:trHeight w:val="874"/>
        </w:trPr>
        <w:tc>
          <w:tcPr>
            <w:tcW w:w="2627" w:type="dxa"/>
          </w:tcPr>
          <w:p w14:paraId="13D45CA5" w14:textId="62834B79" w:rsidR="001D322B" w:rsidRPr="001D322B" w:rsidRDefault="001D322B" w:rsidP="001D322B">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lastRenderedPageBreak/>
              <w:t>Dulap cu rafturi</w:t>
            </w:r>
          </w:p>
        </w:tc>
        <w:tc>
          <w:tcPr>
            <w:tcW w:w="3038" w:type="dxa"/>
          </w:tcPr>
          <w:p w14:paraId="54F2DFDC" w14:textId="22399785" w:rsidR="001D322B" w:rsidRPr="001D322B" w:rsidRDefault="001D322B" w:rsidP="001D322B">
            <w:pPr>
              <w:rPr>
                <w:rFonts w:ascii="Meta OFC" w:eastAsia="Times New Roman" w:hAnsi="Meta OFC" w:cs="Times New Roman"/>
                <w:kern w:val="0"/>
                <w:lang w:eastAsia="ro-MD"/>
                <w14:ligatures w14:val="none"/>
              </w:rPr>
            </w:pPr>
            <w:r w:rsidRPr="001D322B">
              <w:rPr>
                <w:rFonts w:ascii="Meta OFC" w:eastAsia="Meta OFC" w:hAnsi="Meta OFC" w:cs="Meta OFC"/>
                <w:color w:val="000000" w:themeColor="text1"/>
              </w:rPr>
              <w:t>800x400x2000mm</w:t>
            </w:r>
          </w:p>
        </w:tc>
        <w:tc>
          <w:tcPr>
            <w:tcW w:w="3600" w:type="dxa"/>
          </w:tcPr>
          <w:p w14:paraId="0482E46D" w14:textId="16D51381" w:rsidR="001D322B" w:rsidRPr="001D322B" w:rsidRDefault="001D322B" w:rsidP="001D322B">
            <w:pPr>
              <w:rPr>
                <w:rFonts w:ascii="Meta OFC" w:eastAsia="Times New Roman" w:hAnsi="Meta OFC" w:cs="Times New Roman"/>
                <w:kern w:val="0"/>
                <w:lang w:eastAsia="ro-MD"/>
                <w14:ligatures w14:val="none"/>
              </w:rPr>
            </w:pPr>
            <w:r w:rsidRPr="001D322B">
              <w:rPr>
                <w:rFonts w:ascii="Meta OFC" w:eastAsia="Times New Roman" w:hAnsi="Meta OFC" w:cs="Times New Roman"/>
                <w:kern w:val="0"/>
                <w:lang w:eastAsia="ro-MD"/>
                <w14:ligatures w14:val="none"/>
              </w:rPr>
              <w:t>25 unități</w:t>
            </w:r>
          </w:p>
        </w:tc>
      </w:tr>
    </w:tbl>
    <w:p w14:paraId="687702C0" w14:textId="691555E0" w:rsidR="00276506" w:rsidRDefault="00276506" w:rsidP="00276506">
      <w:pPr>
        <w:shd w:val="clear" w:color="auto" w:fill="FFFFFF"/>
        <w:spacing w:before="100" w:beforeAutospacing="1" w:after="100" w:afterAutospacing="1" w:line="240" w:lineRule="auto"/>
        <w:rPr>
          <w:rFonts w:ascii="Roboto" w:hAnsi="Roboto"/>
          <w:b/>
          <w:bCs/>
          <w:color w:val="003459"/>
          <w:shd w:val="clear" w:color="auto" w:fill="FFFFFF"/>
        </w:rPr>
      </w:pPr>
    </w:p>
    <w:p w14:paraId="78AEE9DA" w14:textId="32F716BB" w:rsidR="009077D3" w:rsidRDefault="009077D3" w:rsidP="00276506">
      <w:pPr>
        <w:shd w:val="clear" w:color="auto" w:fill="FFFFFF"/>
        <w:spacing w:before="100" w:beforeAutospacing="1" w:after="100" w:afterAutospacing="1" w:line="240" w:lineRule="auto"/>
        <w:rPr>
          <w:rFonts w:ascii="Roboto" w:hAnsi="Roboto"/>
          <w:b/>
          <w:bCs/>
          <w:color w:val="003459"/>
          <w:shd w:val="clear" w:color="auto" w:fill="FFFFFF"/>
        </w:rPr>
      </w:pPr>
    </w:p>
    <w:p w14:paraId="42765F10" w14:textId="7D9ABC1E" w:rsidR="00C304BC" w:rsidRDefault="00DC2415" w:rsidP="00276506">
      <w:pPr>
        <w:shd w:val="clear" w:color="auto" w:fill="FFFFFF"/>
        <w:spacing w:before="100" w:beforeAutospacing="1" w:after="100" w:afterAutospacing="1" w:line="240" w:lineRule="auto"/>
        <w:rPr>
          <w:rFonts w:ascii="Roboto" w:hAnsi="Roboto"/>
          <w:b/>
          <w:bCs/>
          <w:color w:val="003459"/>
          <w:shd w:val="clear" w:color="auto" w:fill="FFFFFF"/>
        </w:rPr>
      </w:pPr>
      <w:r w:rsidRPr="00DC2415">
        <w:rPr>
          <w:rFonts w:ascii="Roboto" w:hAnsi="Roboto"/>
          <w:b/>
          <w:bCs/>
          <w:noProof/>
          <w:color w:val="003459"/>
          <w:shd w:val="clear" w:color="auto" w:fill="FFFFFF"/>
        </w:rPr>
        <w:drawing>
          <wp:inline distT="0" distB="0" distL="0" distR="0" wp14:anchorId="05FE5824" wp14:editId="5EBB6050">
            <wp:extent cx="2916812" cy="2076450"/>
            <wp:effectExtent l="0" t="0" r="0" b="0"/>
            <wp:docPr id="17127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3666" name=""/>
                    <pic:cNvPicPr/>
                  </pic:nvPicPr>
                  <pic:blipFill>
                    <a:blip r:embed="rId10"/>
                    <a:stretch>
                      <a:fillRect/>
                    </a:stretch>
                  </pic:blipFill>
                  <pic:spPr>
                    <a:xfrm>
                      <a:off x="0" y="0"/>
                      <a:ext cx="2916812" cy="2076450"/>
                    </a:xfrm>
                    <a:prstGeom prst="rect">
                      <a:avLst/>
                    </a:prstGeom>
                  </pic:spPr>
                </pic:pic>
              </a:graphicData>
            </a:graphic>
          </wp:inline>
        </w:drawing>
      </w:r>
    </w:p>
    <w:p w14:paraId="2C779192" w14:textId="0DB926F2" w:rsidR="008770DD" w:rsidRDefault="008770DD" w:rsidP="005250E8">
      <w:pPr>
        <w:shd w:val="clear" w:color="auto" w:fill="FFFFFF"/>
        <w:spacing w:before="100" w:beforeAutospacing="1" w:after="100" w:afterAutospacing="1" w:line="240" w:lineRule="auto"/>
        <w:jc w:val="right"/>
        <w:rPr>
          <w:rFonts w:ascii="Roboto" w:hAnsi="Roboto"/>
          <w:b/>
          <w:bCs/>
          <w:color w:val="003459"/>
          <w:shd w:val="clear" w:color="auto" w:fill="FFFFFF"/>
        </w:rPr>
      </w:pPr>
    </w:p>
    <w:p w14:paraId="1AD750FB" w14:textId="387D5C12" w:rsidR="000E46B9" w:rsidRDefault="001D322B" w:rsidP="00C14907">
      <w:pPr>
        <w:shd w:val="clear" w:color="auto" w:fill="FFFFFF"/>
        <w:spacing w:before="100" w:beforeAutospacing="1" w:after="100" w:afterAutospacing="1" w:line="240" w:lineRule="auto"/>
        <w:rPr>
          <w:rFonts w:ascii="Roboto" w:hAnsi="Roboto"/>
          <w:b/>
          <w:bCs/>
          <w:color w:val="003459"/>
          <w:shd w:val="clear" w:color="auto" w:fill="FFFFFF"/>
        </w:rPr>
      </w:pPr>
      <w:r w:rsidRPr="008850B2">
        <w:rPr>
          <w:rFonts w:ascii="Roboto" w:hAnsi="Roboto"/>
          <w:b/>
          <w:bCs/>
          <w:noProof/>
          <w:color w:val="003459"/>
          <w:shd w:val="clear" w:color="auto" w:fill="FFFFFF"/>
        </w:rPr>
        <w:drawing>
          <wp:anchor distT="0" distB="0" distL="114300" distR="114300" simplePos="0" relativeHeight="251659264" behindDoc="0" locked="0" layoutInCell="1" allowOverlap="1" wp14:anchorId="7B225683" wp14:editId="5CD983B5">
            <wp:simplePos x="0" y="0"/>
            <wp:positionH relativeFrom="column">
              <wp:posOffset>3352800</wp:posOffset>
            </wp:positionH>
            <wp:positionV relativeFrom="paragraph">
              <wp:posOffset>270510</wp:posOffset>
            </wp:positionV>
            <wp:extent cx="2286000" cy="2028825"/>
            <wp:effectExtent l="0" t="0" r="0" b="9525"/>
            <wp:wrapNone/>
            <wp:docPr id="107941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14080" name=""/>
                    <pic:cNvPicPr/>
                  </pic:nvPicPr>
                  <pic:blipFill>
                    <a:blip r:embed="rId11">
                      <a:extLst>
                        <a:ext uri="{28A0092B-C50C-407E-A947-70E740481C1C}">
                          <a14:useLocalDpi xmlns:a14="http://schemas.microsoft.com/office/drawing/2010/main" val="0"/>
                        </a:ext>
                      </a:extLst>
                    </a:blip>
                    <a:stretch>
                      <a:fillRect/>
                    </a:stretch>
                  </pic:blipFill>
                  <pic:spPr>
                    <a:xfrm>
                      <a:off x="0" y="0"/>
                      <a:ext cx="2286000" cy="2028825"/>
                    </a:xfrm>
                    <a:prstGeom prst="rect">
                      <a:avLst/>
                    </a:prstGeom>
                  </pic:spPr>
                </pic:pic>
              </a:graphicData>
            </a:graphic>
          </wp:anchor>
        </w:drawing>
      </w:r>
      <w:r>
        <w:rPr>
          <w:noProof/>
        </w:rPr>
        <w:drawing>
          <wp:anchor distT="0" distB="0" distL="114300" distR="114300" simplePos="0" relativeHeight="251658240" behindDoc="0" locked="0" layoutInCell="1" allowOverlap="1" wp14:anchorId="12E487C7" wp14:editId="66F0A1B9">
            <wp:simplePos x="0" y="0"/>
            <wp:positionH relativeFrom="column">
              <wp:posOffset>-161925</wp:posOffset>
            </wp:positionH>
            <wp:positionV relativeFrom="paragraph">
              <wp:posOffset>2461260</wp:posOffset>
            </wp:positionV>
            <wp:extent cx="2419350" cy="3619500"/>
            <wp:effectExtent l="0" t="0" r="0" b="0"/>
            <wp:wrapNone/>
            <wp:docPr id="1888511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1091" name="Picture 1888511091"/>
                    <pic:cNvPicPr/>
                  </pic:nvPicPr>
                  <pic:blipFill rotWithShape="1">
                    <a:blip r:embed="rId12" cstate="print">
                      <a:extLst>
                        <a:ext uri="{28A0092B-C50C-407E-A947-70E740481C1C}">
                          <a14:useLocalDpi xmlns:a14="http://schemas.microsoft.com/office/drawing/2010/main" val="0"/>
                        </a:ext>
                      </a:extLst>
                    </a:blip>
                    <a:srcRect l="29950" t="15342" r="27787" b="14418"/>
                    <a:stretch/>
                  </pic:blipFill>
                  <pic:spPr bwMode="auto">
                    <a:xfrm>
                      <a:off x="0" y="0"/>
                      <a:ext cx="2419350" cy="361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7252" w:rsidRPr="007E7252">
        <w:rPr>
          <w:rFonts w:ascii="Roboto" w:hAnsi="Roboto"/>
          <w:b/>
          <w:bCs/>
          <w:noProof/>
          <w:color w:val="003459"/>
          <w:shd w:val="clear" w:color="auto" w:fill="FFFFFF"/>
        </w:rPr>
        <w:drawing>
          <wp:inline distT="0" distB="0" distL="0" distR="0" wp14:anchorId="6BA6F99B" wp14:editId="338ACB0B">
            <wp:extent cx="2362200" cy="2305050"/>
            <wp:effectExtent l="0" t="0" r="0" b="0"/>
            <wp:docPr id="89669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96380" name=""/>
                    <pic:cNvPicPr/>
                  </pic:nvPicPr>
                  <pic:blipFill>
                    <a:blip r:embed="rId13"/>
                    <a:stretch>
                      <a:fillRect/>
                    </a:stretch>
                  </pic:blipFill>
                  <pic:spPr>
                    <a:xfrm>
                      <a:off x="0" y="0"/>
                      <a:ext cx="2362200" cy="2305050"/>
                    </a:xfrm>
                    <a:prstGeom prst="rect">
                      <a:avLst/>
                    </a:prstGeom>
                  </pic:spPr>
                </pic:pic>
              </a:graphicData>
            </a:graphic>
          </wp:inline>
        </w:drawing>
      </w:r>
    </w:p>
    <w:p w14:paraId="71B194CB" w14:textId="77777777" w:rsidR="009F5468" w:rsidRDefault="009F5468" w:rsidP="00C14907">
      <w:pPr>
        <w:shd w:val="clear" w:color="auto" w:fill="FFFFFF"/>
        <w:spacing w:before="100" w:beforeAutospacing="1" w:after="100" w:afterAutospacing="1" w:line="240" w:lineRule="auto"/>
        <w:rPr>
          <w:rFonts w:ascii="Roboto" w:hAnsi="Roboto"/>
          <w:b/>
          <w:bCs/>
          <w:color w:val="003459"/>
          <w:shd w:val="clear" w:color="auto" w:fill="FFFFFF"/>
        </w:rPr>
      </w:pPr>
    </w:p>
    <w:p w14:paraId="49BCA88C" w14:textId="3C9D6538" w:rsidR="004003BE" w:rsidRDefault="004003BE" w:rsidP="004D41BC">
      <w:pPr>
        <w:shd w:val="clear" w:color="auto" w:fill="FFFFFF"/>
        <w:spacing w:before="100" w:beforeAutospacing="1" w:after="100" w:afterAutospacing="1" w:line="240" w:lineRule="auto"/>
        <w:rPr>
          <w:rFonts w:ascii="Roboto" w:hAnsi="Roboto"/>
          <w:b/>
          <w:bCs/>
          <w:color w:val="003459"/>
          <w:shd w:val="clear" w:color="auto" w:fill="FFFFFF"/>
        </w:rPr>
      </w:pPr>
    </w:p>
    <w:p w14:paraId="6A821D56" w14:textId="2CDE1054" w:rsidR="008A4627" w:rsidRPr="00EF1D16" w:rsidRDefault="008A4627" w:rsidP="4940D6A7">
      <w:pPr>
        <w:autoSpaceDE w:val="0"/>
        <w:autoSpaceDN w:val="0"/>
        <w:adjustRightInd w:val="0"/>
        <w:spacing w:after="120"/>
        <w:jc w:val="both"/>
        <w:rPr>
          <w:rFonts w:ascii="Meta OFC" w:eastAsia="Calibri" w:hAnsi="Meta OFC" w:cs="Tahoma"/>
          <w:lang w:val="ro-RO"/>
        </w:rPr>
      </w:pPr>
      <w:r w:rsidRPr="4940D6A7">
        <w:rPr>
          <w:rFonts w:ascii="Roboto" w:hAnsi="Roboto"/>
          <w:b/>
          <w:bCs/>
          <w:color w:val="003459"/>
        </w:rPr>
        <w:br w:type="page"/>
      </w:r>
      <w:r w:rsidRPr="4940D6A7">
        <w:rPr>
          <w:rFonts w:ascii="Meta OFC" w:eastAsia="Calibri" w:hAnsi="Meta OFC" w:cs="Tahoma"/>
          <w:lang w:val="ro-RO"/>
        </w:rPr>
        <w:lastRenderedPageBreak/>
        <w:t xml:space="preserve">Furnizorul va presta serviciile prin coordonare cu  persoana responsabilă din cadrul Asociației, în termenii, condițiile, cantitățile și locațiile necesare, la solicitare. </w:t>
      </w:r>
    </w:p>
    <w:p w14:paraId="1CAC5B4A" w14:textId="77777777" w:rsidR="008A4627" w:rsidRPr="00EF1D16" w:rsidRDefault="008A4627" w:rsidP="008A4627">
      <w:pPr>
        <w:autoSpaceDE w:val="0"/>
        <w:autoSpaceDN w:val="0"/>
        <w:adjustRightInd w:val="0"/>
        <w:rPr>
          <w:rFonts w:ascii="Meta OFC" w:eastAsia="Calibri" w:hAnsi="Meta OFC" w:cs="Tahoma"/>
          <w:b/>
          <w:bCs/>
          <w:szCs w:val="24"/>
          <w:lang w:val="ro-RO"/>
        </w:rPr>
      </w:pPr>
      <w:r w:rsidRPr="00EF1D16">
        <w:rPr>
          <w:rFonts w:ascii="Meta OFC" w:eastAsia="Calibri" w:hAnsi="Meta OFC" w:cs="Tahoma"/>
          <w:b/>
          <w:bCs/>
          <w:szCs w:val="24"/>
          <w:lang w:val="ro-RO"/>
        </w:rPr>
        <w:t>Dosarul de aplicare trebuie să conțină următoarele documente:</w:t>
      </w:r>
    </w:p>
    <w:p w14:paraId="1B36E0B4" w14:textId="0FF43D62" w:rsidR="008A4627" w:rsidRPr="002F3FD8" w:rsidRDefault="008A4627" w:rsidP="008A4627">
      <w:pPr>
        <w:pStyle w:val="ListParagraph"/>
        <w:numPr>
          <w:ilvl w:val="0"/>
          <w:numId w:val="8"/>
        </w:numPr>
        <w:tabs>
          <w:tab w:val="left" w:pos="426"/>
        </w:tabs>
        <w:autoSpaceDE w:val="0"/>
        <w:autoSpaceDN w:val="0"/>
        <w:adjustRightInd w:val="0"/>
        <w:spacing w:after="0" w:line="240" w:lineRule="auto"/>
        <w:ind w:left="0" w:firstLine="0"/>
        <w:jc w:val="both"/>
        <w:rPr>
          <w:rFonts w:ascii="Meta OFC" w:eastAsia="Calibri" w:hAnsi="Meta OFC" w:cs="Tahoma"/>
          <w:lang w:val="ro-RO"/>
        </w:rPr>
      </w:pPr>
      <w:bookmarkStart w:id="2" w:name="_Hlk189034525"/>
      <w:r w:rsidRPr="00EF1D16">
        <w:rPr>
          <w:rFonts w:ascii="Meta OFC" w:eastAsia="Calibri" w:hAnsi="Meta OFC" w:cs="Tahoma"/>
          <w:b/>
          <w:bCs/>
          <w:lang w:val="ro-RO"/>
        </w:rPr>
        <w:t xml:space="preserve">Formularul de Aplicare </w:t>
      </w:r>
      <w:r w:rsidRPr="00EF1D16">
        <w:rPr>
          <w:rFonts w:ascii="Meta OFC" w:eastAsia="Calibri" w:hAnsi="Meta OFC" w:cs="Tahoma"/>
          <w:i/>
          <w:iCs/>
          <w:lang w:val="ro-RO"/>
        </w:rPr>
        <w:t>(Anexa 1)</w:t>
      </w:r>
      <w:r w:rsidRPr="00EF1D16">
        <w:rPr>
          <w:rFonts w:ascii="Meta OFC" w:eastAsia="Calibri" w:hAnsi="Meta OFC" w:cs="Tahoma"/>
          <w:lang w:val="ro-RO"/>
        </w:rPr>
        <w:t xml:space="preserve"> completat integral </w:t>
      </w:r>
      <w:r w:rsidRPr="00EF1D16">
        <w:rPr>
          <w:rFonts w:ascii="Meta OFC" w:eastAsia="Poppins" w:hAnsi="Meta OFC" w:cs="Poppins"/>
          <w:color w:val="000000"/>
          <w:lang w:val="ro-RO"/>
        </w:rPr>
        <w:t>(datat, semnat și ștampilat de ofertant</w:t>
      </w:r>
      <w:r w:rsidR="00181341">
        <w:rPr>
          <w:rFonts w:ascii="Meta OFC" w:eastAsia="Poppins" w:hAnsi="Meta OFC" w:cs="Poppins"/>
          <w:color w:val="000000"/>
          <w:lang w:val="ro-RO"/>
        </w:rPr>
        <w:t xml:space="preserve">, </w:t>
      </w:r>
      <w:r w:rsidR="00181341" w:rsidRPr="002F3FD8">
        <w:rPr>
          <w:rFonts w:ascii="Meta OFC" w:hAnsi="Meta OFC" w:cs="Tahoma"/>
          <w:i/>
          <w:lang w:val="ro-RO"/>
        </w:rPr>
        <w:t>fie semnat cu semnătura electronică calificat</w:t>
      </w:r>
      <w:r w:rsidR="00181341" w:rsidRPr="002F3FD8">
        <w:rPr>
          <w:rFonts w:ascii="Meta OFC" w:hAnsi="Meta OFC" w:cs="Tahoma"/>
          <w:i/>
        </w:rPr>
        <w:t>ă</w:t>
      </w:r>
      <w:r w:rsidRPr="002F3FD8">
        <w:rPr>
          <w:rFonts w:ascii="Meta OFC" w:eastAsia="Poppins" w:hAnsi="Meta OFC" w:cs="Poppins"/>
          <w:color w:val="000000"/>
          <w:lang w:val="ro-RO"/>
        </w:rPr>
        <w:t>), va fi prezentată în limba română</w:t>
      </w:r>
      <w:bookmarkEnd w:id="2"/>
      <w:r w:rsidRPr="002F3FD8">
        <w:rPr>
          <w:rFonts w:ascii="Meta OFC" w:eastAsia="Calibri" w:hAnsi="Meta OFC" w:cs="Tahoma"/>
          <w:lang w:val="ro-RO"/>
        </w:rPr>
        <w:t>;</w:t>
      </w:r>
    </w:p>
    <w:p w14:paraId="2357236C" w14:textId="4F95A174" w:rsidR="008A4627" w:rsidRPr="002F3FD8" w:rsidRDefault="008A4627" w:rsidP="008A4627">
      <w:pPr>
        <w:pStyle w:val="ListParagraph"/>
        <w:numPr>
          <w:ilvl w:val="0"/>
          <w:numId w:val="8"/>
        </w:numPr>
        <w:tabs>
          <w:tab w:val="left" w:pos="426"/>
        </w:tabs>
        <w:autoSpaceDE w:val="0"/>
        <w:autoSpaceDN w:val="0"/>
        <w:adjustRightInd w:val="0"/>
        <w:spacing w:after="0" w:line="240" w:lineRule="auto"/>
        <w:ind w:left="0" w:firstLine="0"/>
        <w:jc w:val="both"/>
        <w:rPr>
          <w:rFonts w:ascii="Meta OFC" w:eastAsia="Calibri" w:hAnsi="Meta OFC" w:cs="Tahoma"/>
          <w:lang w:val="ro-RO"/>
        </w:rPr>
      </w:pPr>
      <w:bookmarkStart w:id="3" w:name="_Hlk189034656"/>
      <w:r w:rsidRPr="002F3FD8">
        <w:rPr>
          <w:rFonts w:ascii="Meta OFC" w:eastAsia="Calibri" w:hAnsi="Meta OFC" w:cs="Tahoma"/>
          <w:b/>
          <w:bCs/>
          <w:lang w:val="ro-RO"/>
        </w:rPr>
        <w:t xml:space="preserve">Declarație privind statutul ofertantului </w:t>
      </w:r>
      <w:r w:rsidRPr="002F3FD8">
        <w:rPr>
          <w:rFonts w:ascii="Meta OFC" w:eastAsia="Calibri" w:hAnsi="Meta OFC" w:cs="Tahoma"/>
          <w:i/>
          <w:iCs/>
          <w:lang w:val="ro-RO"/>
        </w:rPr>
        <w:t xml:space="preserve">(Anexa nr.2) </w:t>
      </w:r>
      <w:r w:rsidRPr="002F3FD8">
        <w:rPr>
          <w:rFonts w:ascii="Meta OFC" w:eastAsia="Calibri" w:hAnsi="Meta OFC" w:cs="Tahoma"/>
          <w:lang w:val="ro-RO"/>
        </w:rPr>
        <w:t>completată, semnată și ștampilată,</w:t>
      </w:r>
      <w:r w:rsidR="00C64B3F" w:rsidRPr="002F3FD8">
        <w:rPr>
          <w:rFonts w:ascii="Meta OFC" w:eastAsia="Calibri" w:hAnsi="Meta OFC" w:cs="Tahoma"/>
          <w:lang w:val="ro-RO"/>
        </w:rPr>
        <w:t xml:space="preserve"> </w:t>
      </w:r>
      <w:r w:rsidR="00C64B3F" w:rsidRPr="002F3FD8">
        <w:rPr>
          <w:rFonts w:ascii="Meta OFC" w:hAnsi="Meta OFC" w:cs="Tahoma"/>
          <w:i/>
          <w:lang w:val="ro-RO"/>
        </w:rPr>
        <w:t xml:space="preserve"> </w:t>
      </w:r>
      <w:r w:rsidR="00511527" w:rsidRPr="002F3FD8">
        <w:rPr>
          <w:rFonts w:ascii="Meta OFC" w:hAnsi="Meta OFC" w:cs="Tahoma"/>
          <w:i/>
          <w:lang w:val="ro-RO"/>
        </w:rPr>
        <w:t>fie semnat</w:t>
      </w:r>
      <w:r w:rsidR="00863FE9">
        <w:rPr>
          <w:rFonts w:ascii="Meta OFC" w:hAnsi="Meta OFC" w:cs="Tahoma"/>
          <w:i/>
        </w:rPr>
        <w:t>ă</w:t>
      </w:r>
      <w:r w:rsidR="00511527" w:rsidRPr="002F3FD8">
        <w:rPr>
          <w:rFonts w:ascii="Meta OFC" w:hAnsi="Meta OFC" w:cs="Tahoma"/>
          <w:i/>
          <w:lang w:val="ro-RO"/>
        </w:rPr>
        <w:t xml:space="preserve"> cu semnătura electronică calificat</w:t>
      </w:r>
      <w:r w:rsidR="00511527" w:rsidRPr="002F3FD8">
        <w:rPr>
          <w:rFonts w:ascii="Meta OFC" w:hAnsi="Meta OFC" w:cs="Tahoma"/>
          <w:i/>
        </w:rPr>
        <w:t>ă</w:t>
      </w:r>
      <w:r w:rsidR="00511527" w:rsidRPr="002F3FD8">
        <w:rPr>
          <w:rFonts w:ascii="Meta OFC" w:eastAsia="Poppins" w:hAnsi="Meta OFC" w:cs="Poppins"/>
          <w:color w:val="000000"/>
          <w:lang w:val="ro-RO"/>
        </w:rPr>
        <w:t xml:space="preserve">), </w:t>
      </w:r>
      <w:r w:rsidRPr="002F3FD8">
        <w:rPr>
          <w:rFonts w:ascii="Meta OFC" w:eastAsia="Calibri" w:hAnsi="Meta OFC" w:cs="Tahoma"/>
          <w:lang w:val="ro-RO"/>
        </w:rPr>
        <w:t>va fi prezentată în limba română</w:t>
      </w:r>
      <w:bookmarkEnd w:id="3"/>
      <w:r w:rsidRPr="002F3FD8">
        <w:rPr>
          <w:rFonts w:ascii="Meta OFC" w:eastAsia="Calibri" w:hAnsi="Meta OFC" w:cs="Tahoma"/>
          <w:lang w:val="ro-RO"/>
        </w:rPr>
        <w:t>;</w:t>
      </w:r>
    </w:p>
    <w:p w14:paraId="60F6AB64" w14:textId="23650BB4" w:rsidR="008A4627" w:rsidRDefault="008A4627" w:rsidP="008A4627">
      <w:pPr>
        <w:pStyle w:val="ListParagraph"/>
        <w:numPr>
          <w:ilvl w:val="0"/>
          <w:numId w:val="8"/>
        </w:numPr>
        <w:tabs>
          <w:tab w:val="left" w:pos="426"/>
        </w:tabs>
        <w:autoSpaceDE w:val="0"/>
        <w:autoSpaceDN w:val="0"/>
        <w:adjustRightInd w:val="0"/>
        <w:spacing w:after="0" w:line="240" w:lineRule="auto"/>
        <w:ind w:left="0" w:firstLine="0"/>
        <w:jc w:val="both"/>
        <w:rPr>
          <w:rFonts w:ascii="Meta OFC" w:eastAsia="Calibri" w:hAnsi="Meta OFC" w:cs="Tahoma"/>
          <w:lang w:val="ro-RO"/>
        </w:rPr>
      </w:pPr>
      <w:r w:rsidRPr="00EF1D16">
        <w:rPr>
          <w:rFonts w:ascii="Meta OFC" w:eastAsia="Calibri" w:hAnsi="Meta OFC" w:cs="Tahoma"/>
          <w:b/>
          <w:bCs/>
          <w:lang w:val="ro-RO"/>
        </w:rPr>
        <w:t xml:space="preserve">Oferta financiară </w:t>
      </w:r>
      <w:r w:rsidRPr="00EF1D16">
        <w:rPr>
          <w:rFonts w:ascii="Meta OFC" w:eastAsia="Calibri" w:hAnsi="Meta OFC" w:cs="Tahoma"/>
          <w:i/>
          <w:iCs/>
          <w:lang w:val="ro-RO"/>
        </w:rPr>
        <w:t xml:space="preserve">(Anexa nr.3)  </w:t>
      </w:r>
      <w:r w:rsidRPr="00EF1D16">
        <w:rPr>
          <w:rFonts w:ascii="Meta OFC" w:eastAsia="Calibri" w:hAnsi="Meta OFC" w:cs="Tahoma"/>
          <w:lang w:val="ro-RO"/>
        </w:rPr>
        <w:t>completat</w:t>
      </w:r>
      <w:r>
        <w:rPr>
          <w:rFonts w:ascii="Meta OFC" w:eastAsia="Calibri" w:hAnsi="Meta OFC" w:cs="Tahoma"/>
          <w:lang w:val="ro-RO"/>
        </w:rPr>
        <w:t>ă</w:t>
      </w:r>
      <w:r w:rsidRPr="00EF1D16">
        <w:rPr>
          <w:rFonts w:ascii="Meta OFC" w:eastAsia="Calibri" w:hAnsi="Meta OFC" w:cs="Tahoma"/>
          <w:lang w:val="ro-RO"/>
        </w:rPr>
        <w:t xml:space="preserve"> integral,</w:t>
      </w:r>
      <w:r w:rsidRPr="00EF1D16">
        <w:rPr>
          <w:rFonts w:ascii="Meta OFC" w:hAnsi="Meta OFC"/>
          <w:lang w:val="ro-RO"/>
        </w:rPr>
        <w:t xml:space="preserve"> datat</w:t>
      </w:r>
      <w:r>
        <w:rPr>
          <w:rFonts w:ascii="Meta OFC" w:hAnsi="Meta OFC"/>
          <w:lang w:val="ro-RO"/>
        </w:rPr>
        <w:t>ă</w:t>
      </w:r>
      <w:r w:rsidRPr="00EF1D16">
        <w:rPr>
          <w:rFonts w:ascii="Meta OFC" w:hAnsi="Meta OFC"/>
          <w:lang w:val="ro-RO"/>
        </w:rPr>
        <w:t>, semnat</w:t>
      </w:r>
      <w:r>
        <w:rPr>
          <w:rFonts w:ascii="Meta OFC" w:hAnsi="Meta OFC"/>
          <w:lang w:val="ro-RO"/>
        </w:rPr>
        <w:t>ă</w:t>
      </w:r>
      <w:r w:rsidRPr="00EF1D16">
        <w:rPr>
          <w:rFonts w:ascii="Meta OFC" w:hAnsi="Meta OFC"/>
          <w:lang w:val="ro-RO"/>
        </w:rPr>
        <w:t xml:space="preserve"> și ștampilat</w:t>
      </w:r>
      <w:r>
        <w:rPr>
          <w:rFonts w:ascii="Meta OFC" w:hAnsi="Meta OFC"/>
          <w:lang w:val="ro-RO"/>
        </w:rPr>
        <w:t>ă</w:t>
      </w:r>
      <w:r w:rsidRPr="00EF1D16">
        <w:rPr>
          <w:rFonts w:ascii="Meta OFC" w:hAnsi="Meta OFC"/>
          <w:lang w:val="ro-RO"/>
        </w:rPr>
        <w:t>,</w:t>
      </w:r>
      <w:r w:rsidR="00863FE9">
        <w:rPr>
          <w:rFonts w:ascii="Meta OFC" w:hAnsi="Meta OFC"/>
          <w:lang w:val="ro-RO"/>
        </w:rPr>
        <w:t xml:space="preserve"> </w:t>
      </w:r>
      <w:r w:rsidR="00863FE9" w:rsidRPr="002F3FD8">
        <w:rPr>
          <w:rFonts w:ascii="Meta OFC" w:hAnsi="Meta OFC" w:cs="Tahoma"/>
          <w:i/>
          <w:lang w:val="ro-RO"/>
        </w:rPr>
        <w:t>fie semnat cu semnătura electronică calificat</w:t>
      </w:r>
      <w:r w:rsidR="00863FE9" w:rsidRPr="002F3FD8">
        <w:rPr>
          <w:rFonts w:ascii="Meta OFC" w:hAnsi="Meta OFC" w:cs="Tahoma"/>
          <w:i/>
        </w:rPr>
        <w:t>ă</w:t>
      </w:r>
      <w:r w:rsidR="00863FE9">
        <w:rPr>
          <w:rFonts w:ascii="Meta OFC" w:hAnsi="Meta OFC" w:cs="Tahoma"/>
          <w:i/>
        </w:rPr>
        <w:t xml:space="preserve">, </w:t>
      </w:r>
      <w:r w:rsidRPr="00EF1D16">
        <w:rPr>
          <w:rFonts w:ascii="Meta OFC" w:eastAsia="Calibri" w:hAnsi="Meta OFC" w:cs="Tahoma"/>
          <w:lang w:val="ro-RO"/>
        </w:rPr>
        <w:t>prețurile</w:t>
      </w:r>
      <w:r w:rsidRPr="00EF1D16">
        <w:rPr>
          <w:rFonts w:ascii="Meta OFC" w:eastAsia="Poppins" w:hAnsi="Meta OFC" w:cs="Poppins"/>
          <w:b/>
          <w:bCs/>
          <w:color w:val="000000"/>
          <w:lang w:val="ro-RO"/>
        </w:rPr>
        <w:t xml:space="preserve"> </w:t>
      </w:r>
      <w:r w:rsidRPr="00EF1D16">
        <w:rPr>
          <w:rFonts w:ascii="Meta OFC" w:eastAsia="Calibri" w:hAnsi="Meta OFC" w:cs="Tahoma"/>
          <w:lang w:val="ro-RO"/>
        </w:rPr>
        <w:t xml:space="preserve">vor fi indicate </w:t>
      </w:r>
      <w:r w:rsidRPr="00EF1D16">
        <w:rPr>
          <w:rFonts w:ascii="Meta OFC" w:eastAsia="Calibri" w:hAnsi="Meta OFC" w:cs="Tahoma"/>
          <w:b/>
          <w:bCs/>
          <w:u w:val="single"/>
          <w:lang w:val="ro-RO"/>
        </w:rPr>
        <w:t>fără TVA</w:t>
      </w:r>
      <w:r w:rsidR="003F3361">
        <w:rPr>
          <w:rFonts w:ascii="Meta OFC" w:eastAsia="Calibri" w:hAnsi="Meta OFC" w:cs="Tahoma"/>
          <w:b/>
          <w:bCs/>
          <w:u w:val="single"/>
          <w:lang w:val="ro-RO"/>
        </w:rPr>
        <w:t xml:space="preserve"> (fără drept de deducere)</w:t>
      </w:r>
      <w:r w:rsidRPr="00EF1D16">
        <w:rPr>
          <w:rFonts w:ascii="Meta OFC" w:eastAsia="Calibri" w:hAnsi="Meta OFC" w:cs="Tahoma"/>
          <w:b/>
          <w:bCs/>
          <w:u w:val="single"/>
          <w:lang w:val="ro-RO"/>
        </w:rPr>
        <w:t xml:space="preserve"> </w:t>
      </w:r>
      <w:r w:rsidRPr="00EF1D16">
        <w:rPr>
          <w:rFonts w:ascii="Meta OFC" w:eastAsia="Calibri" w:hAnsi="Meta OFC" w:cs="Tahoma"/>
          <w:lang w:val="ro-RO"/>
        </w:rPr>
        <w:t xml:space="preserve">și </w:t>
      </w:r>
      <w:r w:rsidRPr="00EF1D16">
        <w:rPr>
          <w:rFonts w:ascii="Meta OFC" w:eastAsia="Calibri" w:hAnsi="Meta OFC" w:cs="Tahoma"/>
          <w:b/>
          <w:bCs/>
          <w:u w:val="single"/>
          <w:lang w:val="ro-RO"/>
        </w:rPr>
        <w:t>cu TVA respectiv</w:t>
      </w:r>
      <w:r w:rsidRPr="00EF1D16">
        <w:rPr>
          <w:rFonts w:ascii="Meta OFC" w:eastAsia="Poppins" w:hAnsi="Meta OFC" w:cs="Poppins"/>
          <w:lang w:val="ro-RO"/>
        </w:rPr>
        <w:t>.</w:t>
      </w:r>
      <w:r w:rsidRPr="00EF1D16">
        <w:rPr>
          <w:rFonts w:ascii="Meta OFC" w:eastAsia="Poppins" w:hAnsi="Meta OFC" w:cs="Poppins"/>
          <w:b/>
          <w:bCs/>
          <w:i/>
          <w:iCs/>
          <w:lang w:val="ro-RO"/>
        </w:rPr>
        <w:t xml:space="preserve"> </w:t>
      </w:r>
      <w:r w:rsidRPr="00674F19">
        <w:rPr>
          <w:rFonts w:ascii="Meta OFC" w:eastAsia="Poppins" w:hAnsi="Meta OFC" w:cs="Poppins"/>
          <w:b/>
          <w:bCs/>
          <w:lang w:val="ro-RO"/>
        </w:rPr>
        <w:t>Ofertantul va indica obligatoriu, dacă va livra produsele fără TVA</w:t>
      </w:r>
      <w:r w:rsidR="003F3361">
        <w:rPr>
          <w:rFonts w:ascii="Meta OFC" w:eastAsia="Poppins" w:hAnsi="Meta OFC" w:cs="Poppins"/>
          <w:b/>
          <w:bCs/>
          <w:lang w:val="ro-RO"/>
        </w:rPr>
        <w:t xml:space="preserve"> fără drept de deducere</w:t>
      </w:r>
      <w:r w:rsidRPr="00674F19">
        <w:rPr>
          <w:rFonts w:ascii="Meta OFC" w:eastAsia="Poppins" w:hAnsi="Meta OFC" w:cs="Poppins"/>
          <w:b/>
          <w:bCs/>
          <w:lang w:val="ro-RO"/>
        </w:rPr>
        <w:t>, conform condițiilor din TOR.</w:t>
      </w:r>
      <w:r w:rsidRPr="00EF1D16">
        <w:rPr>
          <w:rFonts w:ascii="Meta OFC" w:eastAsia="Poppins" w:hAnsi="Meta OFC" w:cs="Poppins"/>
          <w:b/>
          <w:bCs/>
          <w:i/>
          <w:iCs/>
          <w:lang w:val="ro-RO"/>
        </w:rPr>
        <w:t xml:space="preserve"> </w:t>
      </w:r>
      <w:r w:rsidRPr="00EF1D16">
        <w:rPr>
          <w:rFonts w:ascii="Meta OFC" w:eastAsia="Poppins" w:hAnsi="Meta OFC" w:cs="Poppins"/>
          <w:lang w:val="ro-RO"/>
        </w:rPr>
        <w:t>Prețurile fără TVA vor fi interpretate în conformitate cu articolul 103, aliniatul 9</w:t>
      </w:r>
      <w:r w:rsidRPr="00EF1D16">
        <w:rPr>
          <w:rFonts w:ascii="Meta OFC" w:eastAsia="Poppins" w:hAnsi="Meta OFC" w:cs="Poppins"/>
          <w:vertAlign w:val="superscript"/>
          <w:lang w:val="ro-RO"/>
        </w:rPr>
        <w:t>2</w:t>
      </w:r>
      <w:r w:rsidRPr="00EF1D16">
        <w:rPr>
          <w:rFonts w:ascii="Meta OFC" w:eastAsia="Poppins" w:hAnsi="Meta OFC" w:cs="Poppins"/>
          <w:lang w:val="ro-RO"/>
        </w:rPr>
        <w:t xml:space="preserve"> al Codului Fiscal ce prevede expres </w:t>
      </w:r>
      <w:r w:rsidRPr="00EF1D16">
        <w:rPr>
          <w:rFonts w:ascii="Meta OFC" w:hAnsi="Meta OFC" w:cs="Segoe UI"/>
          <w:i/>
          <w:iCs/>
          <w:shd w:val="clear" w:color="auto" w:fill="FFFFFF"/>
          <w:lang w:val="ro-RO"/>
        </w:rPr>
        <w:t>„Se scutesc de T.V.A. fără drept de deducere mărfurile și serviciile importate sau procurate pe teritoriul Republicii Moldova de către organizațiile necomerciale care corespund cerințelor art.52, în scop de construire a instituțiilor de asistență socială, precum și mărfurile și serviciile importate sau procurate pe teritoriul Republicii Moldova de către aceste organizații necomerciale pentru necesitățile instituțiilor menționate.”</w:t>
      </w:r>
      <w:r w:rsidRPr="00EF1D16">
        <w:rPr>
          <w:rFonts w:ascii="Meta OFC" w:eastAsia="Calibri" w:hAnsi="Meta OFC" w:cs="Tahoma"/>
          <w:lang w:val="ro-RO"/>
        </w:rPr>
        <w:t xml:space="preserve">; </w:t>
      </w:r>
    </w:p>
    <w:p w14:paraId="6AD42A7A" w14:textId="24202B8E" w:rsidR="00E6067D" w:rsidRPr="00E6067D" w:rsidRDefault="00E6067D" w:rsidP="008A4627">
      <w:pPr>
        <w:pStyle w:val="ListParagraph"/>
        <w:numPr>
          <w:ilvl w:val="0"/>
          <w:numId w:val="8"/>
        </w:numPr>
        <w:tabs>
          <w:tab w:val="left" w:pos="426"/>
        </w:tabs>
        <w:autoSpaceDE w:val="0"/>
        <w:autoSpaceDN w:val="0"/>
        <w:adjustRightInd w:val="0"/>
        <w:spacing w:after="0" w:line="240" w:lineRule="auto"/>
        <w:ind w:left="0" w:firstLine="0"/>
        <w:jc w:val="both"/>
        <w:rPr>
          <w:rFonts w:ascii="Meta OFC" w:eastAsia="Calibri" w:hAnsi="Meta OFC" w:cs="Tahoma"/>
          <w:color w:val="FF0000"/>
          <w:lang w:val="ro-RO"/>
        </w:rPr>
      </w:pPr>
      <w:r>
        <w:rPr>
          <w:rFonts w:ascii="Meta OFC" w:eastAsia="Calibri" w:hAnsi="Meta OFC" w:cs="Tahoma"/>
          <w:b/>
          <w:bCs/>
          <w:lang w:val="ro-RO"/>
        </w:rPr>
        <w:t xml:space="preserve">Oferta tehnică </w:t>
      </w:r>
      <w:r w:rsidRPr="00EF1D16">
        <w:rPr>
          <w:rFonts w:ascii="Meta OFC" w:eastAsia="Calibri" w:hAnsi="Meta OFC" w:cs="Tahoma"/>
          <w:i/>
          <w:iCs/>
          <w:lang w:val="ro-RO"/>
        </w:rPr>
        <w:t xml:space="preserve">(Anexa </w:t>
      </w:r>
      <w:r>
        <w:rPr>
          <w:rFonts w:ascii="Meta OFC" w:eastAsia="Calibri" w:hAnsi="Meta OFC" w:cs="Tahoma"/>
          <w:i/>
          <w:iCs/>
          <w:lang w:val="ro-RO"/>
        </w:rPr>
        <w:t>4</w:t>
      </w:r>
      <w:r w:rsidRPr="00EF1D16">
        <w:rPr>
          <w:rFonts w:ascii="Meta OFC" w:eastAsia="Calibri" w:hAnsi="Meta OFC" w:cs="Tahoma"/>
          <w:i/>
          <w:iCs/>
          <w:lang w:val="ro-RO"/>
        </w:rPr>
        <w:t>)</w:t>
      </w:r>
      <w:r w:rsidRPr="00E6067D">
        <w:rPr>
          <w:rFonts w:ascii="Meta OFC" w:eastAsia="Calibri" w:hAnsi="Meta OFC" w:cs="Tahoma"/>
          <w:lang w:val="ro-RO"/>
        </w:rPr>
        <w:t xml:space="preserve"> </w:t>
      </w:r>
      <w:r w:rsidRPr="00EF1D16">
        <w:rPr>
          <w:rFonts w:ascii="Meta OFC" w:eastAsia="Calibri" w:hAnsi="Meta OFC" w:cs="Tahoma"/>
          <w:lang w:val="ro-RO"/>
        </w:rPr>
        <w:t>completată, semnată și ștampilată</w:t>
      </w:r>
      <w:r w:rsidR="002922A9">
        <w:rPr>
          <w:rFonts w:ascii="Meta OFC" w:eastAsia="Calibri" w:hAnsi="Meta OFC" w:cs="Tahoma"/>
          <w:lang w:val="ro-RO"/>
        </w:rPr>
        <w:t>,</w:t>
      </w:r>
      <w:r w:rsidRPr="00EF1D16">
        <w:rPr>
          <w:rFonts w:ascii="Meta OFC" w:eastAsia="Calibri" w:hAnsi="Meta OFC" w:cs="Tahoma"/>
          <w:lang w:val="ro-RO"/>
        </w:rPr>
        <w:t xml:space="preserve"> </w:t>
      </w:r>
      <w:r w:rsidR="002922A9" w:rsidRPr="002F3FD8">
        <w:rPr>
          <w:rFonts w:ascii="Meta OFC" w:hAnsi="Meta OFC" w:cs="Tahoma"/>
          <w:i/>
          <w:lang w:val="ro-RO"/>
        </w:rPr>
        <w:t>fie semnat</w:t>
      </w:r>
      <w:r w:rsidR="00863FE9">
        <w:rPr>
          <w:rFonts w:ascii="Meta OFC" w:hAnsi="Meta OFC" w:cs="Tahoma"/>
          <w:i/>
          <w:lang w:val="ro-RO"/>
        </w:rPr>
        <w:t>ă</w:t>
      </w:r>
      <w:r w:rsidR="002922A9" w:rsidRPr="002F3FD8">
        <w:rPr>
          <w:rFonts w:ascii="Meta OFC" w:hAnsi="Meta OFC" w:cs="Tahoma"/>
          <w:i/>
          <w:lang w:val="ro-RO"/>
        </w:rPr>
        <w:t xml:space="preserve"> cu semnătura electronică calificat</w:t>
      </w:r>
      <w:r w:rsidR="002922A9" w:rsidRPr="002F3FD8">
        <w:rPr>
          <w:rFonts w:ascii="Meta OFC" w:hAnsi="Meta OFC" w:cs="Tahoma"/>
          <w:i/>
        </w:rPr>
        <w:t>ă</w:t>
      </w:r>
      <w:r w:rsidR="002922A9" w:rsidRPr="002F3FD8">
        <w:rPr>
          <w:rFonts w:ascii="Meta OFC" w:eastAsia="Poppins" w:hAnsi="Meta OFC" w:cs="Poppins"/>
          <w:color w:val="000000"/>
          <w:lang w:val="ro-RO"/>
        </w:rPr>
        <w:t xml:space="preserve">, </w:t>
      </w:r>
      <w:r w:rsidRPr="002F3FD8">
        <w:rPr>
          <w:rFonts w:ascii="Meta OFC" w:eastAsia="Calibri" w:hAnsi="Meta OFC" w:cs="Tahoma"/>
          <w:lang w:val="ro-RO"/>
        </w:rPr>
        <w:t>va fi prezentată în limba română</w:t>
      </w:r>
      <w:r w:rsidR="00863FE9">
        <w:rPr>
          <w:rFonts w:ascii="Meta OFC" w:eastAsia="Calibri" w:hAnsi="Meta OFC" w:cs="Tahoma"/>
          <w:lang w:val="ro-RO"/>
        </w:rPr>
        <w:t>.</w:t>
      </w:r>
      <w:r w:rsidR="00181341" w:rsidRPr="002F3FD8">
        <w:rPr>
          <w:rFonts w:ascii="Meta OFC" w:eastAsia="Calibri" w:hAnsi="Meta OFC" w:cs="Tahoma"/>
          <w:lang w:val="ro-RO"/>
        </w:rPr>
        <w:t xml:space="preserve"> În cazul în care</w:t>
      </w:r>
      <w:r w:rsidR="00181341" w:rsidRPr="008906C9">
        <w:rPr>
          <w:rFonts w:ascii="Meta OFC" w:eastAsia="Calibri" w:hAnsi="Meta OFC" w:cs="Tahoma"/>
          <w:lang w:val="ro-RO"/>
        </w:rPr>
        <w:t xml:space="preserve">, </w:t>
      </w:r>
      <w:r w:rsidR="00181341">
        <w:rPr>
          <w:rFonts w:ascii="Meta OFC" w:eastAsia="Calibri" w:hAnsi="Meta OFC" w:cs="Tahoma"/>
          <w:lang w:val="ro-RO"/>
        </w:rPr>
        <w:t>ofertantul va avea alte caracteristici tehnice, decât cele solicitate, acestea vor fi trecute în anexă. O</w:t>
      </w:r>
      <w:r w:rsidR="00181341" w:rsidRPr="008906C9">
        <w:rPr>
          <w:rFonts w:ascii="Meta OFC" w:eastAsia="Calibri" w:hAnsi="Meta OFC" w:cs="Tahoma"/>
          <w:lang w:val="ro-RO"/>
        </w:rPr>
        <w:t>fertantul va depune efort să respecte la maxim specificațiile solicitate  și va oferi un produs maximal similar. Prioritate se va acorda ofertelor</w:t>
      </w:r>
      <w:r w:rsidR="00181341">
        <w:rPr>
          <w:rFonts w:ascii="Meta OFC" w:eastAsia="Calibri" w:hAnsi="Meta OFC" w:cs="Tahoma"/>
          <w:lang w:val="ro-RO"/>
        </w:rPr>
        <w:t>,</w:t>
      </w:r>
      <w:r w:rsidR="00181341" w:rsidRPr="008906C9">
        <w:rPr>
          <w:rFonts w:ascii="Meta OFC" w:eastAsia="Calibri" w:hAnsi="Meta OFC" w:cs="Tahoma"/>
          <w:lang w:val="ro-RO"/>
        </w:rPr>
        <w:t xml:space="preserve"> care </w:t>
      </w:r>
      <w:r w:rsidR="009F7870">
        <w:rPr>
          <w:rFonts w:ascii="Meta OFC" w:eastAsia="Calibri" w:hAnsi="Meta OFC" w:cs="Tahoma"/>
          <w:lang w:val="ro-RO"/>
        </w:rPr>
        <w:t xml:space="preserve">oferă </w:t>
      </w:r>
      <w:r w:rsidR="00181341" w:rsidRPr="008906C9">
        <w:rPr>
          <w:rFonts w:ascii="Meta OFC" w:eastAsia="Calibri" w:hAnsi="Meta OFC" w:cs="Tahoma"/>
          <w:lang w:val="ro-RO"/>
        </w:rPr>
        <w:t>produse</w:t>
      </w:r>
      <w:r w:rsidR="00181341">
        <w:rPr>
          <w:rFonts w:ascii="Meta OFC" w:eastAsia="Calibri" w:hAnsi="Meta OFC" w:cs="Tahoma"/>
          <w:lang w:val="ro-RO"/>
        </w:rPr>
        <w:t xml:space="preserve"> cu</w:t>
      </w:r>
      <w:r w:rsidR="00181341" w:rsidRPr="008906C9">
        <w:rPr>
          <w:rFonts w:ascii="Meta OFC" w:eastAsia="Calibri" w:hAnsi="Meta OFC" w:cs="Tahoma"/>
          <w:lang w:val="ro-RO"/>
        </w:rPr>
        <w:t xml:space="preserve"> </w:t>
      </w:r>
      <w:r w:rsidR="00181341">
        <w:rPr>
          <w:rFonts w:ascii="Meta OFC" w:eastAsia="Calibri" w:hAnsi="Meta OFC" w:cs="Tahoma"/>
          <w:lang w:val="ro-RO"/>
        </w:rPr>
        <w:t>caracteristicile tehnice</w:t>
      </w:r>
      <w:r w:rsidR="00181341" w:rsidRPr="008906C9">
        <w:rPr>
          <w:rFonts w:ascii="Meta OFC" w:eastAsia="Calibri" w:hAnsi="Meta OFC" w:cs="Tahoma"/>
          <w:lang w:val="ro-RO"/>
        </w:rPr>
        <w:t xml:space="preserve"> solicitate.</w:t>
      </w:r>
    </w:p>
    <w:p w14:paraId="6CA238F7" w14:textId="351A18EE" w:rsidR="008A4627" w:rsidRPr="00EF1D16" w:rsidRDefault="008A4627" w:rsidP="008A4627">
      <w:pPr>
        <w:pStyle w:val="ListParagraph"/>
        <w:numPr>
          <w:ilvl w:val="0"/>
          <w:numId w:val="8"/>
        </w:numPr>
        <w:tabs>
          <w:tab w:val="left" w:pos="426"/>
        </w:tabs>
        <w:autoSpaceDE w:val="0"/>
        <w:autoSpaceDN w:val="0"/>
        <w:adjustRightInd w:val="0"/>
        <w:spacing w:after="0" w:line="240" w:lineRule="auto"/>
        <w:ind w:left="0" w:firstLine="0"/>
        <w:jc w:val="both"/>
        <w:rPr>
          <w:rFonts w:ascii="Meta OFC" w:eastAsia="Calibri" w:hAnsi="Meta OFC" w:cs="Tahoma"/>
          <w:lang w:val="ro-RO"/>
        </w:rPr>
      </w:pPr>
      <w:r w:rsidRPr="00EF1D16">
        <w:rPr>
          <w:rFonts w:ascii="Meta OFC" w:eastAsia="Calibri" w:hAnsi="Meta OFC" w:cs="Tahoma"/>
          <w:b/>
          <w:bCs/>
          <w:lang w:val="ro-RO"/>
        </w:rPr>
        <w:t xml:space="preserve">Copia extrasului companiei din registrul persoanelor juridice, </w:t>
      </w:r>
      <w:r w:rsidRPr="00EF1D16">
        <w:rPr>
          <w:rFonts w:ascii="Meta OFC" w:eastAsia="Calibri" w:hAnsi="Meta OFC" w:cs="Tahoma"/>
          <w:lang w:val="ro-RO"/>
        </w:rPr>
        <w:t>actualizat, dar nu mai vechi de 12 luni</w:t>
      </w:r>
      <w:r w:rsidR="009F7870">
        <w:rPr>
          <w:rFonts w:ascii="Meta OFC" w:eastAsia="Calibri" w:hAnsi="Meta OFC" w:cs="Tahoma"/>
          <w:lang w:val="ro-RO"/>
        </w:rPr>
        <w:t>.</w:t>
      </w:r>
    </w:p>
    <w:p w14:paraId="10814FC4" w14:textId="77777777" w:rsidR="00AA4ED4" w:rsidRDefault="00AA4ED4" w:rsidP="008A4627">
      <w:pPr>
        <w:widowControl w:val="0"/>
        <w:kinsoku w:val="0"/>
        <w:overflowPunct w:val="0"/>
        <w:autoSpaceDE w:val="0"/>
        <w:autoSpaceDN w:val="0"/>
        <w:adjustRightInd w:val="0"/>
        <w:spacing w:line="23" w:lineRule="atLeast"/>
        <w:jc w:val="both"/>
        <w:rPr>
          <w:rFonts w:ascii="Meta OFC" w:eastAsia="Calibri" w:hAnsi="Meta OFC" w:cs="Tahoma"/>
          <w:b/>
          <w:bCs/>
          <w:szCs w:val="24"/>
          <w:lang w:val="ro-RO"/>
        </w:rPr>
      </w:pPr>
    </w:p>
    <w:p w14:paraId="3F897150" w14:textId="232D00B8" w:rsidR="008A4627" w:rsidRPr="00EF1D16" w:rsidRDefault="008A4627" w:rsidP="008A4627">
      <w:pPr>
        <w:widowControl w:val="0"/>
        <w:kinsoku w:val="0"/>
        <w:overflowPunct w:val="0"/>
        <w:autoSpaceDE w:val="0"/>
        <w:autoSpaceDN w:val="0"/>
        <w:adjustRightInd w:val="0"/>
        <w:spacing w:line="23" w:lineRule="atLeast"/>
        <w:jc w:val="both"/>
        <w:rPr>
          <w:rFonts w:ascii="Meta OFC" w:eastAsia="Calibri" w:hAnsi="Meta OFC" w:cs="Tahoma"/>
          <w:b/>
          <w:bCs/>
          <w:szCs w:val="24"/>
          <w:lang w:val="ro-RO"/>
        </w:rPr>
      </w:pPr>
      <w:r w:rsidRPr="00EF1D16">
        <w:rPr>
          <w:rFonts w:ascii="Meta OFC" w:eastAsia="Calibri" w:hAnsi="Meta OFC" w:cs="Tahoma"/>
          <w:b/>
          <w:bCs/>
          <w:szCs w:val="24"/>
          <w:lang w:val="ro-RO"/>
        </w:rPr>
        <w:t>Cerințe</w:t>
      </w:r>
      <w:r>
        <w:rPr>
          <w:rFonts w:ascii="Meta OFC" w:eastAsia="Calibri" w:hAnsi="Meta OFC" w:cs="Tahoma"/>
          <w:b/>
          <w:bCs/>
          <w:szCs w:val="24"/>
          <w:lang w:val="ro-RO"/>
        </w:rPr>
        <w:t xml:space="preserve"> și condiții</w:t>
      </w:r>
      <w:r w:rsidRPr="00EF1D16">
        <w:rPr>
          <w:rFonts w:ascii="Meta OFC" w:eastAsia="Calibri" w:hAnsi="Meta OFC" w:cs="Tahoma"/>
          <w:b/>
          <w:bCs/>
          <w:szCs w:val="24"/>
          <w:lang w:val="ro-RO"/>
        </w:rPr>
        <w:t xml:space="preserve"> față de ofertant:</w:t>
      </w:r>
    </w:p>
    <w:p w14:paraId="16CCE22E" w14:textId="77777777" w:rsidR="008A4627" w:rsidRPr="00EF1D16" w:rsidRDefault="008A4627" w:rsidP="008A4627">
      <w:pPr>
        <w:pStyle w:val="ListParagraph"/>
        <w:widowControl w:val="0"/>
        <w:numPr>
          <w:ilvl w:val="0"/>
          <w:numId w:val="11"/>
        </w:numPr>
        <w:kinsoku w:val="0"/>
        <w:overflowPunct w:val="0"/>
        <w:autoSpaceDE w:val="0"/>
        <w:autoSpaceDN w:val="0"/>
        <w:adjustRightInd w:val="0"/>
        <w:spacing w:after="0" w:line="23" w:lineRule="atLeast"/>
        <w:jc w:val="both"/>
        <w:rPr>
          <w:rFonts w:ascii="Meta OFC" w:eastAsia="Calibri" w:hAnsi="Meta OFC" w:cs="Tahoma"/>
          <w:lang w:val="ro-RO"/>
        </w:rPr>
      </w:pPr>
      <w:r w:rsidRPr="00EF1D16">
        <w:rPr>
          <w:rFonts w:ascii="Meta OFC" w:eastAsia="Calibri" w:hAnsi="Meta OFC" w:cs="Tahoma"/>
          <w:lang w:val="ro-RO"/>
        </w:rPr>
        <w:t>agent economic înregistrat oficial în Republica Moldova;</w:t>
      </w:r>
    </w:p>
    <w:p w14:paraId="4D0DC990" w14:textId="77777777" w:rsidR="008A4627" w:rsidRPr="00BA0E61" w:rsidRDefault="008A4627" w:rsidP="008A4627">
      <w:pPr>
        <w:pStyle w:val="ListParagraph"/>
        <w:widowControl w:val="0"/>
        <w:numPr>
          <w:ilvl w:val="0"/>
          <w:numId w:val="11"/>
        </w:numPr>
        <w:kinsoku w:val="0"/>
        <w:overflowPunct w:val="0"/>
        <w:autoSpaceDE w:val="0"/>
        <w:autoSpaceDN w:val="0"/>
        <w:adjustRightInd w:val="0"/>
        <w:spacing w:after="0" w:line="23" w:lineRule="atLeast"/>
        <w:jc w:val="both"/>
        <w:rPr>
          <w:rFonts w:ascii="Meta OFC" w:eastAsia="Calibri" w:hAnsi="Meta OFC" w:cs="Tahoma"/>
          <w:lang w:val="ro-RO"/>
        </w:rPr>
      </w:pPr>
      <w:r w:rsidRPr="00BA0E61">
        <w:rPr>
          <w:rFonts w:ascii="Meta OFC" w:eastAsia="Calibri" w:hAnsi="Meta OFC" w:cs="Tahoma"/>
          <w:lang w:val="ro-RO"/>
        </w:rPr>
        <w:t>deținerea autorizațiilor/certificatelor pentru prestarea serviciilor solicitate, dac</w:t>
      </w:r>
      <w:r w:rsidRPr="00BA0E61">
        <w:rPr>
          <w:rFonts w:ascii="Meta OFC" w:eastAsia="Calibri" w:hAnsi="Meta OFC" w:cs="Tahoma"/>
        </w:rPr>
        <w:t>ă sunt necesare</w:t>
      </w:r>
      <w:r w:rsidRPr="00BA0E61">
        <w:rPr>
          <w:rFonts w:ascii="Meta OFC" w:eastAsia="Calibri" w:hAnsi="Meta OFC" w:cs="Tahoma"/>
          <w:lang w:val="ro-RO"/>
        </w:rPr>
        <w:t>;</w:t>
      </w:r>
    </w:p>
    <w:p w14:paraId="7D3A9302" w14:textId="453B4571" w:rsidR="008A4627" w:rsidRPr="002F3FD8" w:rsidRDefault="008A4627" w:rsidP="008A4627">
      <w:pPr>
        <w:pStyle w:val="ListParagraph"/>
        <w:numPr>
          <w:ilvl w:val="0"/>
          <w:numId w:val="11"/>
        </w:numPr>
        <w:shd w:val="clear" w:color="auto" w:fill="FFFFFF" w:themeFill="background1"/>
        <w:spacing w:after="0" w:line="240" w:lineRule="auto"/>
        <w:jc w:val="both"/>
        <w:rPr>
          <w:rFonts w:ascii="Meta OFC" w:hAnsi="Meta OFC"/>
          <w:lang w:val="ro-RO"/>
        </w:rPr>
      </w:pPr>
      <w:r w:rsidRPr="002F3FD8">
        <w:rPr>
          <w:rFonts w:ascii="Meta OFC" w:hAnsi="Meta OFC"/>
          <w:lang w:val="ro-RO"/>
        </w:rPr>
        <w:t>produsele vor fi livrate în puncte de destinație</w:t>
      </w:r>
      <w:r w:rsidR="001B5973" w:rsidRPr="002F3FD8">
        <w:rPr>
          <w:rFonts w:ascii="Meta OFC" w:hAnsi="Meta OFC"/>
          <w:lang w:val="ro-RO"/>
        </w:rPr>
        <w:t xml:space="preserve"> menționate în </w:t>
      </w:r>
      <w:r w:rsidRPr="002F3FD8">
        <w:rPr>
          <w:rFonts w:ascii="Meta OFC" w:hAnsi="Meta OFC"/>
          <w:lang w:val="ro-RO"/>
        </w:rPr>
        <w:t xml:space="preserve"> </w:t>
      </w:r>
      <w:r w:rsidR="002922A9" w:rsidRPr="002F3FD8">
        <w:rPr>
          <w:rFonts w:ascii="Meta OFC" w:hAnsi="Meta OFC"/>
          <w:lang w:val="ro-RO"/>
        </w:rPr>
        <w:t>Anex</w:t>
      </w:r>
      <w:r w:rsidR="001B5973" w:rsidRPr="002F3FD8">
        <w:rPr>
          <w:rFonts w:ascii="Meta OFC" w:hAnsi="Meta OFC"/>
          <w:lang w:val="ro-RO"/>
        </w:rPr>
        <w:t>a</w:t>
      </w:r>
      <w:r w:rsidR="002922A9" w:rsidRPr="002F3FD8">
        <w:rPr>
          <w:rFonts w:ascii="Meta OFC" w:hAnsi="Meta OFC"/>
          <w:lang w:val="ro-RO"/>
        </w:rPr>
        <w:t xml:space="preserve"> 3</w:t>
      </w:r>
      <w:r w:rsidR="001B5973" w:rsidRPr="002F3FD8">
        <w:rPr>
          <w:rFonts w:ascii="Meta OFC" w:hAnsi="Meta OFC"/>
          <w:lang w:val="ro-RO"/>
        </w:rPr>
        <w:t>;</w:t>
      </w:r>
    </w:p>
    <w:p w14:paraId="4B26B640" w14:textId="2E7A6F69" w:rsidR="008A4627" w:rsidRPr="00EF1D16" w:rsidRDefault="008A4627" w:rsidP="008A4627">
      <w:pPr>
        <w:pStyle w:val="ListParagraph"/>
        <w:numPr>
          <w:ilvl w:val="0"/>
          <w:numId w:val="11"/>
        </w:numPr>
        <w:shd w:val="clear" w:color="auto" w:fill="FFFFFF"/>
        <w:spacing w:after="60" w:line="240" w:lineRule="auto"/>
        <w:jc w:val="both"/>
        <w:rPr>
          <w:rFonts w:ascii="Meta OFC" w:hAnsi="Meta OFC"/>
          <w:color w:val="000000" w:themeColor="text1"/>
          <w:lang w:val="ro-RO"/>
        </w:rPr>
      </w:pPr>
      <w:r w:rsidRPr="00EF1D16">
        <w:rPr>
          <w:rFonts w:ascii="Meta OFC" w:hAnsi="Meta OFC"/>
          <w:color w:val="000000" w:themeColor="text1"/>
          <w:lang w:val="ro-RO"/>
        </w:rPr>
        <w:t xml:space="preserve">produsele livrate vor </w:t>
      </w:r>
      <w:r>
        <w:rPr>
          <w:rFonts w:ascii="Meta OFC" w:hAnsi="Meta OFC"/>
          <w:color w:val="000000" w:themeColor="text1"/>
          <w:lang w:val="ro-RO"/>
        </w:rPr>
        <w:t>fin însoțite de certificate de garanție</w:t>
      </w:r>
      <w:r w:rsidR="00E6067D">
        <w:rPr>
          <w:rFonts w:ascii="Meta OFC" w:hAnsi="Meta OFC"/>
          <w:color w:val="000000" w:themeColor="text1"/>
          <w:lang w:val="ro-RO"/>
        </w:rPr>
        <w:t>;</w:t>
      </w:r>
    </w:p>
    <w:p w14:paraId="292D1B18" w14:textId="61044685" w:rsidR="008A4627" w:rsidRPr="00EF1D16" w:rsidRDefault="008A4627" w:rsidP="008A4627">
      <w:pPr>
        <w:pStyle w:val="ListParagraph"/>
        <w:widowControl w:val="0"/>
        <w:numPr>
          <w:ilvl w:val="0"/>
          <w:numId w:val="11"/>
        </w:numPr>
        <w:kinsoku w:val="0"/>
        <w:overflowPunct w:val="0"/>
        <w:autoSpaceDE w:val="0"/>
        <w:autoSpaceDN w:val="0"/>
        <w:adjustRightInd w:val="0"/>
        <w:spacing w:after="0" w:line="23" w:lineRule="atLeast"/>
        <w:jc w:val="both"/>
        <w:rPr>
          <w:rFonts w:ascii="Meta OFC" w:eastAsia="Calibri" w:hAnsi="Meta OFC" w:cs="Tahoma"/>
          <w:lang w:val="ro-RO"/>
        </w:rPr>
      </w:pPr>
      <w:bookmarkStart w:id="4" w:name="_Hlk189035397"/>
      <w:r w:rsidRPr="00EF1D16">
        <w:rPr>
          <w:rFonts w:ascii="Meta OFC" w:eastAsia="Calibri" w:hAnsi="Meta OFC" w:cs="Tahoma"/>
          <w:lang w:val="ro-RO"/>
        </w:rPr>
        <w:t xml:space="preserve">Oferta va fi valabilă nu mai puțin de </w:t>
      </w:r>
      <w:r w:rsidR="00866B79">
        <w:rPr>
          <w:rFonts w:ascii="Meta OFC" w:eastAsia="Calibri" w:hAnsi="Meta OFC" w:cs="Tahoma"/>
          <w:lang w:val="ro-RO"/>
        </w:rPr>
        <w:t xml:space="preserve">360 </w:t>
      </w:r>
      <w:r w:rsidRPr="00EF1D16">
        <w:rPr>
          <w:rFonts w:ascii="Meta OFC" w:eastAsia="Calibri" w:hAnsi="Meta OFC" w:cs="Tahoma"/>
          <w:lang w:val="ro-RO"/>
        </w:rPr>
        <w:t>zile de la data limită pentru depunerea ofertelor.</w:t>
      </w:r>
    </w:p>
    <w:bookmarkEnd w:id="4"/>
    <w:p w14:paraId="2624AAD9" w14:textId="77777777" w:rsidR="008A4627" w:rsidRPr="00EF1D16" w:rsidRDefault="008A4627" w:rsidP="008A4627">
      <w:pPr>
        <w:pStyle w:val="ListParagraph"/>
        <w:shd w:val="clear" w:color="auto" w:fill="FFFFFF" w:themeFill="background1"/>
        <w:rPr>
          <w:rFonts w:ascii="Meta OFC" w:hAnsi="Meta OFC"/>
          <w:lang w:val="ro-RO"/>
        </w:rPr>
      </w:pPr>
    </w:p>
    <w:p w14:paraId="67BB192D" w14:textId="77777777" w:rsidR="008A4627" w:rsidRPr="00EF1D16" w:rsidRDefault="008A4627" w:rsidP="008A4627">
      <w:pPr>
        <w:autoSpaceDE w:val="0"/>
        <w:autoSpaceDN w:val="0"/>
        <w:adjustRightInd w:val="0"/>
        <w:spacing w:after="120"/>
        <w:rPr>
          <w:rFonts w:ascii="Meta OFC" w:eastAsia="Calibri" w:hAnsi="Meta OFC" w:cs="Tahoma-Bold"/>
          <w:b/>
          <w:bCs/>
          <w:szCs w:val="24"/>
          <w:lang w:val="ro-RO"/>
        </w:rPr>
      </w:pPr>
      <w:r w:rsidRPr="00EF1D16">
        <w:rPr>
          <w:rFonts w:ascii="Meta OFC" w:eastAsia="Calibri" w:hAnsi="Meta OFC" w:cs="Tahoma-Bold"/>
          <w:b/>
          <w:bCs/>
          <w:szCs w:val="24"/>
          <w:lang w:val="ro-RO"/>
        </w:rPr>
        <w:t>Criterii de selectare</w:t>
      </w:r>
    </w:p>
    <w:p w14:paraId="0FC1C518" w14:textId="10613B20" w:rsidR="008A4627" w:rsidRPr="00EF1D16" w:rsidRDefault="008A4627" w:rsidP="008A4627">
      <w:pPr>
        <w:autoSpaceDE w:val="0"/>
        <w:autoSpaceDN w:val="0"/>
        <w:adjustRightInd w:val="0"/>
        <w:spacing w:after="120"/>
        <w:jc w:val="both"/>
        <w:rPr>
          <w:rFonts w:ascii="Meta OFC" w:eastAsia="Calibri" w:hAnsi="Meta OFC" w:cs="Tahoma"/>
          <w:szCs w:val="24"/>
          <w:lang w:val="ro-RO"/>
        </w:rPr>
      </w:pPr>
      <w:r w:rsidRPr="00EF1D16">
        <w:rPr>
          <w:rStyle w:val="ui-provider"/>
          <w:rFonts w:ascii="Meta OFC" w:hAnsi="Meta OFC"/>
          <w:szCs w:val="24"/>
        </w:rPr>
        <w:t xml:space="preserve">Ofertele vor fi evaluate de o comisie de selecție numită pentru desfășurarea procedurii de </w:t>
      </w:r>
      <w:r w:rsidRPr="007B09EB">
        <w:rPr>
          <w:rStyle w:val="ui-provider"/>
          <w:rFonts w:ascii="Meta OFC" w:hAnsi="Meta OFC"/>
          <w:szCs w:val="24"/>
        </w:rPr>
        <w:t xml:space="preserve">selectarea unei companii </w:t>
      </w:r>
      <w:r w:rsidR="00C673A4" w:rsidRPr="00C673A4">
        <w:rPr>
          <w:rStyle w:val="ui-provider"/>
          <w:rFonts w:ascii="Meta OFC" w:hAnsi="Meta OFC"/>
          <w:szCs w:val="24"/>
        </w:rPr>
        <w:t>pentru achiziția de mobilier școlar pentru Centrele Multifuncționale A.O. ”CONCORDIA. Proiecte Sociale”</w:t>
      </w:r>
      <w:r w:rsidR="00C673A4">
        <w:rPr>
          <w:rStyle w:val="ui-provider"/>
          <w:rFonts w:ascii="Meta OFC" w:hAnsi="Meta OFC"/>
          <w:szCs w:val="24"/>
        </w:rPr>
        <w:t xml:space="preserve"> </w:t>
      </w:r>
      <w:r w:rsidRPr="00EF1D16">
        <w:rPr>
          <w:rStyle w:val="ui-provider"/>
          <w:rFonts w:ascii="Meta OFC" w:hAnsi="Meta OFC"/>
          <w:szCs w:val="24"/>
        </w:rPr>
        <w:t>conform prezenților Termeni de referință. În procesul de evaluare a dosarelor de ofertă, comisia de selecție se va asigura de îndeplinirea tuturor cerințelor și condițiilor stabilite în Termenii de referință</w:t>
      </w:r>
      <w:r w:rsidRPr="00EF1D16">
        <w:rPr>
          <w:rFonts w:ascii="Meta OFC" w:eastAsia="Calibri" w:hAnsi="Meta OFC" w:cs="Tahoma"/>
          <w:szCs w:val="24"/>
          <w:lang w:val="ro-RO"/>
        </w:rPr>
        <w:t>.</w:t>
      </w:r>
    </w:p>
    <w:p w14:paraId="17B2D2DB" w14:textId="5E11E041" w:rsidR="008A4627" w:rsidRPr="00EF1D16" w:rsidRDefault="008A4627" w:rsidP="008A4627">
      <w:pPr>
        <w:autoSpaceDE w:val="0"/>
        <w:autoSpaceDN w:val="0"/>
        <w:adjustRightInd w:val="0"/>
        <w:spacing w:after="120"/>
        <w:jc w:val="both"/>
        <w:rPr>
          <w:rStyle w:val="ui-provider"/>
          <w:rFonts w:ascii="Meta OFC" w:hAnsi="Meta OFC"/>
          <w:szCs w:val="24"/>
        </w:rPr>
      </w:pPr>
      <w:r w:rsidRPr="00EF1D16">
        <w:rPr>
          <w:rStyle w:val="ui-provider"/>
          <w:rFonts w:ascii="Meta OFC" w:hAnsi="Meta OFC"/>
          <w:szCs w:val="24"/>
        </w:rPr>
        <w:t xml:space="preserve">Comisia de selecție va examina toate documentele depuse de ofertanți, </w:t>
      </w:r>
      <w:r>
        <w:rPr>
          <w:rStyle w:val="ui-provider"/>
          <w:rFonts w:ascii="Meta OFC" w:hAnsi="Meta OFC"/>
          <w:szCs w:val="24"/>
        </w:rPr>
        <w:t>parte componentă a dosarului de aplicare</w:t>
      </w:r>
      <w:r w:rsidRPr="00EF1D16">
        <w:rPr>
          <w:rStyle w:val="ui-provider"/>
          <w:rFonts w:ascii="Meta OFC" w:hAnsi="Meta OFC"/>
          <w:szCs w:val="24"/>
        </w:rPr>
        <w:t xml:space="preserve">. Dosarele care nu îndeplinesc toate cerințele și condițiile </w:t>
      </w:r>
      <w:r w:rsidR="001B5973">
        <w:rPr>
          <w:rStyle w:val="ui-provider"/>
          <w:rFonts w:ascii="Meta OFC" w:hAnsi="Meta OFC"/>
          <w:szCs w:val="24"/>
        </w:rPr>
        <w:t>nu se vor lua în considerație.</w:t>
      </w:r>
    </w:p>
    <w:p w14:paraId="424FEAAF" w14:textId="77777777" w:rsidR="008A4627" w:rsidRPr="00EF1D16" w:rsidRDefault="008A4627" w:rsidP="008A4627">
      <w:pPr>
        <w:autoSpaceDE w:val="0"/>
        <w:autoSpaceDN w:val="0"/>
        <w:adjustRightInd w:val="0"/>
        <w:spacing w:after="120"/>
        <w:jc w:val="both"/>
        <w:rPr>
          <w:rStyle w:val="ui-provider"/>
          <w:rFonts w:ascii="Meta OFC" w:hAnsi="Meta OFC"/>
          <w:szCs w:val="24"/>
        </w:rPr>
      </w:pPr>
      <w:r w:rsidRPr="00EF1D16">
        <w:rPr>
          <w:rStyle w:val="ui-provider"/>
          <w:rFonts w:ascii="Meta OFC" w:hAnsi="Meta OFC"/>
          <w:szCs w:val="24"/>
        </w:rPr>
        <w:lastRenderedPageBreak/>
        <w:t>Comisia de selecție va urmări ca oferta câștigătoare să fie cea mai avantajoasă din punct de vedere al prețului. În același timp, ofertele trebuie să corespundă solicitărilor și să corespundă cerințelor de calitate și performanță înaintate.</w:t>
      </w:r>
    </w:p>
    <w:p w14:paraId="6A8D6198" w14:textId="77777777" w:rsidR="008A4627" w:rsidRPr="00EF1D16" w:rsidRDefault="008A4627" w:rsidP="008A4627">
      <w:pPr>
        <w:spacing w:after="120"/>
        <w:jc w:val="both"/>
        <w:rPr>
          <w:rFonts w:ascii="Meta OFC" w:hAnsi="Meta OFC"/>
          <w:szCs w:val="24"/>
          <w:lang w:val="ro-RO" w:eastAsia="ro-RO"/>
        </w:rPr>
      </w:pPr>
      <w:r w:rsidRPr="00EF1D16">
        <w:rPr>
          <w:rFonts w:ascii="Meta OFC" w:hAnsi="Meta OFC"/>
          <w:szCs w:val="24"/>
          <w:lang w:val="ro-RO" w:eastAsia="ro-RO"/>
        </w:rPr>
        <w:t>Comisia va evalua cel puțin următoarele aspecte:</w:t>
      </w:r>
    </w:p>
    <w:p w14:paraId="4CE5E999" w14:textId="77777777" w:rsidR="008A4627" w:rsidRPr="00EF1D16" w:rsidRDefault="008A4627" w:rsidP="008A4627">
      <w:pPr>
        <w:spacing w:after="120"/>
        <w:jc w:val="both"/>
        <w:rPr>
          <w:rFonts w:ascii="Meta OFC" w:hAnsi="Meta OFC"/>
          <w:szCs w:val="24"/>
          <w:lang w:val="ro-RO" w:eastAsia="ro-RO"/>
        </w:rPr>
      </w:pPr>
      <w:r w:rsidRPr="00EF1D16">
        <w:rPr>
          <w:rFonts w:ascii="Meta OFC" w:hAnsi="Meta OFC"/>
          <w:b/>
          <w:bCs/>
          <w:szCs w:val="24"/>
          <w:lang w:val="ro-RO" w:eastAsia="ro-RO"/>
        </w:rPr>
        <w:t xml:space="preserve">Corespunderea cu cerințele de formă </w:t>
      </w:r>
      <w:r w:rsidRPr="00EF1D16">
        <w:rPr>
          <w:rFonts w:ascii="Meta OFC" w:hAnsi="Meta OFC"/>
          <w:szCs w:val="24"/>
          <w:lang w:val="ro-RO" w:eastAsia="ro-RO"/>
        </w:rPr>
        <w:t>– Ofertele vor fi revizuite în funcție de conformitatea lor cu cerințele înaintate. Ofertele trebuie să includă toate cerințele înaintate în prezentele Termene de referință și să fie conforme criteriilor de eligibilitate. Nerespectarea oricăreia dintre aceste cerințe poate duce la descalificarea ofertei.</w:t>
      </w:r>
    </w:p>
    <w:p w14:paraId="2B3F6335" w14:textId="08F038F0" w:rsidR="008A4627" w:rsidRPr="00EF1D16" w:rsidRDefault="008A4627" w:rsidP="008A4627">
      <w:pPr>
        <w:spacing w:after="120"/>
        <w:jc w:val="both"/>
        <w:rPr>
          <w:rFonts w:ascii="Meta OFC" w:hAnsi="Meta OFC"/>
          <w:szCs w:val="24"/>
          <w:lang w:val="ro-RO" w:eastAsia="ro-RO"/>
        </w:rPr>
      </w:pPr>
      <w:r w:rsidRPr="00EF1D16">
        <w:rPr>
          <w:rFonts w:ascii="Meta OFC" w:hAnsi="Meta OFC"/>
          <w:b/>
          <w:bCs/>
          <w:szCs w:val="24"/>
          <w:lang w:val="ro-RO" w:eastAsia="ro-RO"/>
        </w:rPr>
        <w:t xml:space="preserve">Corespunderea cu cerințele tehnice </w:t>
      </w:r>
      <w:r w:rsidRPr="00EF1D16">
        <w:rPr>
          <w:rFonts w:ascii="Meta OFC" w:hAnsi="Meta OFC"/>
          <w:szCs w:val="24"/>
          <w:lang w:val="ro-RO" w:eastAsia="ro-RO"/>
        </w:rPr>
        <w:t xml:space="preserve">– Ofertele vor fi evaluate din punctul de vedere al calității </w:t>
      </w:r>
      <w:r>
        <w:rPr>
          <w:rFonts w:ascii="Meta OFC" w:hAnsi="Meta OFC"/>
          <w:szCs w:val="24"/>
          <w:lang w:val="ro-RO" w:eastAsia="ro-RO"/>
        </w:rPr>
        <w:t>furnizorului</w:t>
      </w:r>
      <w:r w:rsidRPr="00EF1D16">
        <w:rPr>
          <w:rFonts w:ascii="Meta OFC" w:hAnsi="Meta OFC"/>
          <w:szCs w:val="24"/>
          <w:lang w:val="ro-RO" w:eastAsia="ro-RO"/>
        </w:rPr>
        <w:t xml:space="preserve">, inclusiv credibilitatea oferită și condițiile propuse, experiență anterioară, </w:t>
      </w:r>
      <w:r>
        <w:rPr>
          <w:rFonts w:ascii="Meta OFC" w:hAnsi="Meta OFC"/>
          <w:szCs w:val="24"/>
          <w:lang w:val="ro-RO" w:eastAsia="ro-RO"/>
        </w:rPr>
        <w:t>capacitatea de realizare a obiectului concursului</w:t>
      </w:r>
      <w:r w:rsidRPr="00EF1D16">
        <w:rPr>
          <w:rFonts w:ascii="Meta OFC" w:hAnsi="Meta OFC"/>
          <w:szCs w:val="24"/>
          <w:lang w:val="ro-RO" w:eastAsia="ro-RO"/>
        </w:rPr>
        <w:t xml:space="preserve">, </w:t>
      </w:r>
      <w:r>
        <w:rPr>
          <w:rFonts w:ascii="Meta OFC" w:hAnsi="Meta OFC"/>
          <w:szCs w:val="24"/>
          <w:lang w:val="ro-RO" w:eastAsia="ro-RO"/>
        </w:rPr>
        <w:t>aspecte logistice importante, dacă vor exista, etc</w:t>
      </w:r>
      <w:r w:rsidRPr="00EF1D16">
        <w:rPr>
          <w:rFonts w:ascii="Meta OFC" w:hAnsi="Meta OFC"/>
          <w:szCs w:val="24"/>
          <w:lang w:val="ro-RO" w:eastAsia="ro-RO"/>
        </w:rPr>
        <w:t>.</w:t>
      </w:r>
    </w:p>
    <w:p w14:paraId="39CDACD0" w14:textId="77777777" w:rsidR="008A4627" w:rsidRPr="00EF1D16" w:rsidRDefault="008A4627" w:rsidP="008A4627">
      <w:pPr>
        <w:spacing w:after="120"/>
        <w:jc w:val="both"/>
        <w:rPr>
          <w:rFonts w:ascii="Meta OFC" w:hAnsi="Meta OFC"/>
          <w:szCs w:val="24"/>
          <w:lang w:val="ro-RO" w:eastAsia="ro-RO"/>
        </w:rPr>
      </w:pPr>
      <w:r w:rsidRPr="00EF1D16">
        <w:rPr>
          <w:rFonts w:ascii="Meta OFC" w:hAnsi="Meta OFC"/>
          <w:b/>
          <w:bCs/>
          <w:szCs w:val="24"/>
          <w:lang w:val="ro-RO" w:eastAsia="ro-RO"/>
        </w:rPr>
        <w:t xml:space="preserve">Oferta financiară propusă </w:t>
      </w:r>
      <w:r w:rsidRPr="00EF1D16">
        <w:rPr>
          <w:rFonts w:ascii="Meta OFC" w:hAnsi="Meta OFC"/>
          <w:szCs w:val="24"/>
          <w:lang w:val="ro-RO" w:eastAsia="ro-RO"/>
        </w:rPr>
        <w:t>– Ofertele vor fi evaluate prin compararea prețurilor, specificate în ofertă.</w:t>
      </w:r>
    </w:p>
    <w:p w14:paraId="226B891F" w14:textId="77777777" w:rsidR="008A4627" w:rsidRPr="00EF1D16" w:rsidRDefault="008A4627" w:rsidP="008A4627">
      <w:pPr>
        <w:autoSpaceDE w:val="0"/>
        <w:autoSpaceDN w:val="0"/>
        <w:adjustRightInd w:val="0"/>
        <w:spacing w:after="120"/>
        <w:jc w:val="both"/>
        <w:rPr>
          <w:rFonts w:ascii="Meta OFC" w:eastAsia="Calibri" w:hAnsi="Meta OFC" w:cs="Tahoma"/>
          <w:szCs w:val="24"/>
          <w:lang w:val="ro-RO"/>
        </w:rPr>
      </w:pPr>
      <w:r w:rsidRPr="00EF1D16">
        <w:rPr>
          <w:rStyle w:val="ui-provider"/>
          <w:rFonts w:ascii="Meta OFC" w:hAnsi="Meta OFC"/>
          <w:szCs w:val="24"/>
        </w:rPr>
        <w:t>Pentru atribuirea contractului ofertantului câștigător se va aplica raportul dintre dosar complet, condițiile ofertate și preț.</w:t>
      </w:r>
    </w:p>
    <w:p w14:paraId="127830C6" w14:textId="77777777" w:rsidR="008A4627" w:rsidRPr="00EF1D16" w:rsidRDefault="008A4627" w:rsidP="008A4627">
      <w:pPr>
        <w:autoSpaceDE w:val="0"/>
        <w:autoSpaceDN w:val="0"/>
        <w:adjustRightInd w:val="0"/>
        <w:spacing w:after="120"/>
        <w:jc w:val="both"/>
        <w:rPr>
          <w:rFonts w:ascii="Meta OFC" w:eastAsia="Calibri" w:hAnsi="Meta OFC" w:cs="Tahoma"/>
          <w:szCs w:val="24"/>
          <w:lang w:val="ro-RO"/>
        </w:rPr>
      </w:pPr>
      <w:r w:rsidRPr="00EF1D16">
        <w:rPr>
          <w:rFonts w:ascii="Meta OFC" w:eastAsia="Calibri" w:hAnsi="Meta OFC" w:cs="Tahoma"/>
          <w:szCs w:val="24"/>
          <w:lang w:val="ro-RO"/>
        </w:rPr>
        <w:t>A.O. „CONCORDIA. Proiecte Sociale” își rezervă dreptul de a solicita și alte documente în cadrul evaluării, fie explicații suplimentare în cazul apariției unor neclarități.</w:t>
      </w:r>
    </w:p>
    <w:p w14:paraId="27F3CC7C" w14:textId="77777777"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Poppins" w:hAnsi="Meta OFC"/>
          <w:b/>
          <w:bCs/>
          <w:szCs w:val="24"/>
          <w:lang w:val="ro-RO"/>
        </w:rPr>
      </w:pPr>
      <w:r w:rsidRPr="00EF1D16">
        <w:rPr>
          <w:rFonts w:ascii="Meta OFC" w:eastAsia="Poppins" w:hAnsi="Meta OFC"/>
          <w:b/>
          <w:bCs/>
          <w:szCs w:val="24"/>
          <w:lang w:val="ro-RO"/>
        </w:rPr>
        <w:t>Dreptul la prezentări și valabilitatea propunerii:</w:t>
      </w:r>
    </w:p>
    <w:p w14:paraId="4EF87F7F" w14:textId="15C0EAB3" w:rsidR="008A4627" w:rsidRPr="00EF1D16" w:rsidRDefault="00A20074" w:rsidP="008A4627">
      <w:pPr>
        <w:pStyle w:val="ListParagraph"/>
        <w:widowControl w:val="0"/>
        <w:numPr>
          <w:ilvl w:val="0"/>
          <w:numId w:val="10"/>
        </w:numPr>
        <w:kinsoku w:val="0"/>
        <w:overflowPunct w:val="0"/>
        <w:autoSpaceDE w:val="0"/>
        <w:autoSpaceDN w:val="0"/>
        <w:adjustRightInd w:val="0"/>
        <w:spacing w:after="0" w:line="23" w:lineRule="atLeast"/>
        <w:jc w:val="both"/>
        <w:rPr>
          <w:rFonts w:ascii="Meta OFC" w:eastAsia="Poppins" w:hAnsi="Meta OFC"/>
          <w:lang w:val="ro-RO"/>
        </w:rPr>
      </w:pPr>
      <w:r>
        <w:rPr>
          <w:rFonts w:ascii="Meta OFC" w:eastAsia="Poppins" w:hAnsi="Meta OFC"/>
          <w:lang w:val="ro-RO"/>
        </w:rPr>
        <w:t>Organizația</w:t>
      </w:r>
      <w:r w:rsidR="008A4627" w:rsidRPr="00EF1D16">
        <w:rPr>
          <w:rFonts w:ascii="Meta OFC" w:eastAsia="Poppins" w:hAnsi="Meta OFC"/>
          <w:lang w:val="ro-RO"/>
        </w:rPr>
        <w:t xml:space="preserve"> își rezervă dreptul de a invita ofertanții să facă prezentări verbale.</w:t>
      </w:r>
      <w:r w:rsidR="008A4627" w:rsidRPr="00EF1D16">
        <w:rPr>
          <w:rFonts w:ascii="Meta OFC" w:hAnsi="Meta OFC"/>
          <w:lang w:val="ro-RO"/>
        </w:rPr>
        <w:t xml:space="preserve"> </w:t>
      </w:r>
      <w:r w:rsidR="008A4627" w:rsidRPr="00EF1D16">
        <w:rPr>
          <w:rFonts w:ascii="Meta OFC" w:eastAsia="Poppins" w:hAnsi="Meta OFC"/>
          <w:lang w:val="ro-RO"/>
        </w:rPr>
        <w:t>Aceste prezentări vor fi evaluate pe baza acelorași criterii.</w:t>
      </w:r>
    </w:p>
    <w:p w14:paraId="2E400BCC" w14:textId="28EFA0A1" w:rsidR="008A4627" w:rsidRPr="00EF1D16" w:rsidRDefault="008A4627" w:rsidP="008A4627">
      <w:pPr>
        <w:pStyle w:val="ListParagraph"/>
        <w:widowControl w:val="0"/>
        <w:numPr>
          <w:ilvl w:val="0"/>
          <w:numId w:val="10"/>
        </w:numPr>
        <w:kinsoku w:val="0"/>
        <w:overflowPunct w:val="0"/>
        <w:autoSpaceDE w:val="0"/>
        <w:autoSpaceDN w:val="0"/>
        <w:adjustRightInd w:val="0"/>
        <w:spacing w:after="120" w:line="23" w:lineRule="atLeast"/>
        <w:ind w:left="714" w:hanging="357"/>
        <w:contextualSpacing w:val="0"/>
        <w:jc w:val="both"/>
        <w:rPr>
          <w:rFonts w:ascii="Meta OFC" w:eastAsia="Poppins" w:hAnsi="Meta OFC"/>
          <w:lang w:val="ro-RO"/>
        </w:rPr>
      </w:pPr>
      <w:r w:rsidRPr="00EF1D16">
        <w:rPr>
          <w:rFonts w:ascii="Meta OFC" w:eastAsia="Poppins" w:hAnsi="Meta OFC"/>
          <w:lang w:val="ro-RO"/>
        </w:rPr>
        <w:t xml:space="preserve">Ofertele trebuie să rămână valabile timp de </w:t>
      </w:r>
      <w:r w:rsidR="00C673A4">
        <w:rPr>
          <w:rFonts w:ascii="Meta OFC" w:eastAsia="Poppins" w:hAnsi="Meta OFC"/>
          <w:lang w:val="ro-RO"/>
        </w:rPr>
        <w:t xml:space="preserve">360 </w:t>
      </w:r>
      <w:r w:rsidRPr="00EF1D16">
        <w:rPr>
          <w:rFonts w:ascii="Meta OFC" w:eastAsia="Poppins" w:hAnsi="Meta OFC"/>
          <w:lang w:val="ro-RO"/>
        </w:rPr>
        <w:t>de zile de la data limită de depunere.</w:t>
      </w:r>
    </w:p>
    <w:p w14:paraId="6A1150B9" w14:textId="77777777" w:rsidR="008A4627" w:rsidRPr="00EF1D16" w:rsidRDefault="008A4627" w:rsidP="008A4627">
      <w:pPr>
        <w:widowControl w:val="0"/>
        <w:kinsoku w:val="0"/>
        <w:overflowPunct w:val="0"/>
        <w:autoSpaceDE w:val="0"/>
        <w:autoSpaceDN w:val="0"/>
        <w:adjustRightInd w:val="0"/>
        <w:spacing w:line="23" w:lineRule="atLeast"/>
        <w:jc w:val="both"/>
        <w:rPr>
          <w:rFonts w:ascii="Meta OFC" w:eastAsia="Poppins" w:hAnsi="Meta OFC"/>
          <w:b/>
          <w:bCs/>
          <w:szCs w:val="24"/>
          <w:lang w:val="ro-RO"/>
        </w:rPr>
      </w:pPr>
      <w:r w:rsidRPr="00EF1D16">
        <w:rPr>
          <w:rFonts w:ascii="Meta OFC" w:eastAsia="Poppins" w:hAnsi="Meta OFC"/>
          <w:b/>
          <w:bCs/>
          <w:szCs w:val="24"/>
          <w:lang w:val="ro-RO"/>
        </w:rPr>
        <w:t>Dezvăluirea evaluării și responsabilitatea costurilor:</w:t>
      </w:r>
    </w:p>
    <w:p w14:paraId="3552AB37" w14:textId="2BBCD128" w:rsidR="008A4627" w:rsidRPr="00EF1D16" w:rsidRDefault="00A20074" w:rsidP="008A4627">
      <w:pPr>
        <w:pStyle w:val="ListParagraph"/>
        <w:widowControl w:val="0"/>
        <w:numPr>
          <w:ilvl w:val="0"/>
          <w:numId w:val="9"/>
        </w:numPr>
        <w:kinsoku w:val="0"/>
        <w:overflowPunct w:val="0"/>
        <w:autoSpaceDE w:val="0"/>
        <w:autoSpaceDN w:val="0"/>
        <w:adjustRightInd w:val="0"/>
        <w:spacing w:after="0" w:line="23" w:lineRule="atLeast"/>
        <w:jc w:val="both"/>
        <w:rPr>
          <w:rFonts w:ascii="Meta OFC" w:eastAsia="Poppins" w:hAnsi="Meta OFC"/>
          <w:lang w:val="ro-RO"/>
        </w:rPr>
      </w:pPr>
      <w:r>
        <w:rPr>
          <w:rFonts w:ascii="Meta OFC" w:eastAsia="Poppins" w:hAnsi="Meta OFC"/>
          <w:lang w:val="ro-RO"/>
        </w:rPr>
        <w:t>Organizația</w:t>
      </w:r>
      <w:r w:rsidR="008A4627" w:rsidRPr="00EF1D16">
        <w:rPr>
          <w:rFonts w:ascii="Meta OFC" w:eastAsia="Poppins" w:hAnsi="Meta OFC"/>
          <w:lang w:val="ro-RO"/>
        </w:rPr>
        <w:t xml:space="preserve"> nu este obligat să dezvăluie ofertanților modul în care sunt evaluate ofertele sau să furnizeze informații despre procesul de selecție;</w:t>
      </w:r>
    </w:p>
    <w:p w14:paraId="3F7F26EF" w14:textId="77777777" w:rsidR="008A4627" w:rsidRPr="00EF1D16" w:rsidRDefault="008A4627" w:rsidP="008A4627">
      <w:pPr>
        <w:pStyle w:val="ListParagraph"/>
        <w:widowControl w:val="0"/>
        <w:numPr>
          <w:ilvl w:val="0"/>
          <w:numId w:val="9"/>
        </w:numPr>
        <w:kinsoku w:val="0"/>
        <w:overflowPunct w:val="0"/>
        <w:autoSpaceDE w:val="0"/>
        <w:autoSpaceDN w:val="0"/>
        <w:adjustRightInd w:val="0"/>
        <w:spacing w:after="120" w:line="23" w:lineRule="atLeast"/>
        <w:ind w:left="714" w:hanging="357"/>
        <w:contextualSpacing w:val="0"/>
        <w:jc w:val="both"/>
        <w:rPr>
          <w:rFonts w:ascii="Meta OFC" w:eastAsia="Poppins" w:hAnsi="Meta OFC"/>
          <w:lang w:val="ro-RO"/>
        </w:rPr>
      </w:pPr>
      <w:r w:rsidRPr="00EF1D16">
        <w:rPr>
          <w:rFonts w:ascii="Meta OFC" w:eastAsia="Poppins" w:hAnsi="Meta OFC"/>
          <w:lang w:val="ro-RO"/>
        </w:rPr>
        <w:t>Ofertanții sunt responsabili pentru propriile cheltuieli suportate pentru pregătirea și depunerea ofertei în temeiul prezenților Termeni de referință. Aceasta include inclusiv costurile pentru demonstrații funcționale, întâlniri și negocieri.</w:t>
      </w:r>
    </w:p>
    <w:p w14:paraId="0C058362" w14:textId="2ABE3D59" w:rsidR="008A4627" w:rsidRPr="00EF1D16" w:rsidRDefault="008A4627" w:rsidP="008A4627">
      <w:pPr>
        <w:widowControl w:val="0"/>
        <w:kinsoku w:val="0"/>
        <w:overflowPunct w:val="0"/>
        <w:autoSpaceDE w:val="0"/>
        <w:autoSpaceDN w:val="0"/>
        <w:adjustRightInd w:val="0"/>
        <w:spacing w:line="23" w:lineRule="atLeast"/>
        <w:jc w:val="both"/>
        <w:rPr>
          <w:rFonts w:ascii="Meta OFC" w:eastAsia="Poppins" w:hAnsi="Meta OFC"/>
          <w:szCs w:val="24"/>
          <w:lang w:val="ro-RO"/>
        </w:rPr>
      </w:pPr>
      <w:r w:rsidRPr="00EF1D16">
        <w:rPr>
          <w:rFonts w:ascii="Meta OFC" w:eastAsia="Poppins" w:hAnsi="Meta OFC"/>
          <w:b/>
          <w:bCs/>
          <w:szCs w:val="24"/>
          <w:lang w:val="ro-RO"/>
        </w:rPr>
        <w:t xml:space="preserve">Nu este un contract: </w:t>
      </w:r>
      <w:r w:rsidRPr="00EF1D16">
        <w:rPr>
          <w:rFonts w:ascii="Meta OFC" w:eastAsia="Poppins" w:hAnsi="Meta OFC"/>
          <w:szCs w:val="24"/>
          <w:lang w:val="ro-RO"/>
        </w:rPr>
        <w:t xml:space="preserve">Acești Termeni de referință nu sunt un contract sau angajament. Depunerea/transmiterea unei oferte nu obligă </w:t>
      </w:r>
      <w:r w:rsidR="00A20074" w:rsidRPr="00C673A4">
        <w:rPr>
          <w:rStyle w:val="ui-provider"/>
          <w:rFonts w:ascii="Meta OFC" w:hAnsi="Meta OFC"/>
          <w:szCs w:val="24"/>
        </w:rPr>
        <w:t>A.O. ”CONCORDIA. Proiecte Sociale”</w:t>
      </w:r>
      <w:r w:rsidR="00A20074">
        <w:rPr>
          <w:rStyle w:val="ui-provider"/>
          <w:rFonts w:ascii="Meta OFC" w:hAnsi="Meta OFC"/>
          <w:szCs w:val="24"/>
        </w:rPr>
        <w:t xml:space="preserve"> </w:t>
      </w:r>
      <w:r w:rsidRPr="00EF1D16">
        <w:rPr>
          <w:rFonts w:ascii="Meta OFC" w:eastAsia="Poppins" w:hAnsi="Meta OFC"/>
          <w:szCs w:val="24"/>
          <w:lang w:val="ro-RO"/>
        </w:rPr>
        <w:t xml:space="preserve">să încheie un contract, și </w:t>
      </w:r>
      <w:r w:rsidR="00A20074" w:rsidRPr="00C673A4">
        <w:rPr>
          <w:rStyle w:val="ui-provider"/>
          <w:rFonts w:ascii="Meta OFC" w:hAnsi="Meta OFC"/>
          <w:szCs w:val="24"/>
        </w:rPr>
        <w:t>A.O. ”CONCORDIA. Proiecte Sociale”</w:t>
      </w:r>
      <w:r w:rsidR="00A20074">
        <w:rPr>
          <w:rStyle w:val="ui-provider"/>
          <w:rFonts w:ascii="Meta OFC" w:hAnsi="Meta OFC"/>
          <w:szCs w:val="24"/>
        </w:rPr>
        <w:t xml:space="preserve"> </w:t>
      </w:r>
      <w:r w:rsidRPr="00EF1D16">
        <w:rPr>
          <w:rFonts w:ascii="Meta OFC" w:eastAsia="Poppins" w:hAnsi="Meta OFC"/>
          <w:szCs w:val="24"/>
          <w:lang w:val="ro-RO"/>
        </w:rPr>
        <w:t xml:space="preserve"> nu se angajează să acopere nici un cost suportat în pregătirea ofertei.</w:t>
      </w:r>
    </w:p>
    <w:p w14:paraId="4260F2B7" w14:textId="77777777" w:rsidR="008A4627" w:rsidRPr="00EF1D16" w:rsidRDefault="008A4627" w:rsidP="008A4627">
      <w:pPr>
        <w:widowControl w:val="0"/>
        <w:kinsoku w:val="0"/>
        <w:overflowPunct w:val="0"/>
        <w:autoSpaceDE w:val="0"/>
        <w:autoSpaceDN w:val="0"/>
        <w:adjustRightInd w:val="0"/>
        <w:spacing w:line="23" w:lineRule="atLeast"/>
        <w:jc w:val="both"/>
        <w:rPr>
          <w:rFonts w:ascii="Meta OFC" w:eastAsia="Calibri" w:hAnsi="Meta OFC" w:cs="Tahoma"/>
          <w:b/>
          <w:bCs/>
          <w:szCs w:val="24"/>
          <w:lang w:val="ro-RO"/>
        </w:rPr>
      </w:pPr>
      <w:r w:rsidRPr="00EF1D16">
        <w:rPr>
          <w:rFonts w:ascii="Meta OFC" w:eastAsia="Calibri" w:hAnsi="Meta OFC" w:cs="Tahoma"/>
          <w:b/>
          <w:bCs/>
          <w:szCs w:val="24"/>
          <w:lang w:val="ro-RO"/>
        </w:rPr>
        <w:t>Confidențialitatea și protecția datelor cu caracter personal</w:t>
      </w:r>
    </w:p>
    <w:p w14:paraId="1C4C33EB" w14:textId="77777777"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EF1D16">
        <w:rPr>
          <w:rFonts w:ascii="Meta OFC" w:eastAsia="Calibri" w:hAnsi="Meta OFC" w:cs="Tahoma"/>
          <w:szCs w:val="24"/>
          <w:lang w:val="ro-RO"/>
        </w:rPr>
        <w:t>Ofertele înscrise la concurs vor conține, direct sau indirect, date cu caracter personal. A.O. „CONCORDIA. Proiecte Sociale” va asigura confidențialitatea datelor cu caracter personal în procesul de colectare, prelucrare și stocare a acestora.</w:t>
      </w:r>
    </w:p>
    <w:p w14:paraId="32708541" w14:textId="77777777"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EF1D16">
        <w:rPr>
          <w:rFonts w:ascii="Meta OFC" w:eastAsia="Calibri" w:hAnsi="Meta OFC" w:cs="Tahoma"/>
          <w:szCs w:val="24"/>
          <w:lang w:val="ro-RO"/>
        </w:rPr>
        <w:t xml:space="preserve">Prelucrarea datelor cu caracter personal ale ofertanților și ale reprezentanților acestora, inclusiv datelor privind identitatea, contactele și datele lor financiare vor fi prelucrate conform Legii Nr.133/2011 privind prelucrarea datelor cu caracter personal și vor fi utilizate exclusiv în scopul </w:t>
      </w:r>
      <w:r w:rsidRPr="00EF1D16">
        <w:rPr>
          <w:rFonts w:ascii="Meta OFC" w:eastAsia="Calibri" w:hAnsi="Meta OFC" w:cs="Tahoma"/>
          <w:szCs w:val="24"/>
          <w:lang w:val="ro-RO"/>
        </w:rPr>
        <w:lastRenderedPageBreak/>
        <w:t>evaluării ofertelor și atribuirii contractului. Prin participarea la această procedură de achiziție, ofertanții își dau consimțământul pentru prelucrarea datelor lor personale în scopurile menționate mai sus. Toate datele cu caracter personal vor fi păstrate confidențiale și nu vor fi transferate către terțe părți, decât în cazul în care legea o prevede sau dacă este necesar pentru buna desfășurare a procesului de selecție.</w:t>
      </w:r>
    </w:p>
    <w:p w14:paraId="21B4E203" w14:textId="77777777"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p>
    <w:p w14:paraId="334F46F0" w14:textId="0A201A0C"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b/>
          <w:bCs/>
          <w:szCs w:val="24"/>
          <w:lang w:val="ro-RO"/>
        </w:rPr>
      </w:pPr>
      <w:r w:rsidRPr="00EF1D16">
        <w:rPr>
          <w:rFonts w:ascii="Meta OFC" w:eastAsia="Calibri" w:hAnsi="Meta OFC" w:cs="Tahoma"/>
          <w:szCs w:val="24"/>
          <w:lang w:val="ro-RO"/>
        </w:rPr>
        <w:t xml:space="preserve">Termenul limită de depunere a ofertelor este: </w:t>
      </w:r>
      <w:r w:rsidR="00181341">
        <w:rPr>
          <w:rFonts w:ascii="Meta OFC" w:eastAsia="Calibri" w:hAnsi="Meta OFC" w:cs="Tahoma"/>
          <w:b/>
          <w:bCs/>
          <w:szCs w:val="24"/>
          <w:lang w:val="ro-RO"/>
        </w:rPr>
        <w:t>28.05</w:t>
      </w:r>
      <w:r w:rsidRPr="00EF1D16">
        <w:rPr>
          <w:rFonts w:ascii="Meta OFC" w:eastAsia="Calibri" w:hAnsi="Meta OFC" w:cs="Tahoma"/>
          <w:b/>
          <w:bCs/>
          <w:szCs w:val="24"/>
          <w:lang w:val="ro-RO"/>
        </w:rPr>
        <w:t>.202</w:t>
      </w:r>
      <w:r w:rsidR="00C95222">
        <w:rPr>
          <w:rFonts w:ascii="Meta OFC" w:eastAsia="Calibri" w:hAnsi="Meta OFC" w:cs="Tahoma"/>
          <w:b/>
          <w:bCs/>
          <w:szCs w:val="24"/>
          <w:lang w:val="ro-RO"/>
        </w:rPr>
        <w:t>6</w:t>
      </w:r>
      <w:r w:rsidRPr="00EF1D16">
        <w:rPr>
          <w:rFonts w:ascii="Meta OFC" w:eastAsia="Calibri" w:hAnsi="Meta OFC" w:cs="Tahoma"/>
          <w:b/>
          <w:bCs/>
          <w:szCs w:val="24"/>
          <w:lang w:val="ro-RO"/>
        </w:rPr>
        <w:t>.</w:t>
      </w:r>
    </w:p>
    <w:p w14:paraId="0361215C" w14:textId="0ED909D6"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EF1D16">
        <w:rPr>
          <w:rFonts w:ascii="Meta OFC" w:eastAsia="Calibri" w:hAnsi="Meta OFC" w:cs="Tahoma"/>
          <w:szCs w:val="24"/>
          <w:lang w:val="ro-RO"/>
        </w:rPr>
        <w:t xml:space="preserve">Ofertele cu mențiunea – </w:t>
      </w:r>
      <w:r w:rsidRPr="00EF1D16">
        <w:rPr>
          <w:rFonts w:ascii="Meta OFC" w:eastAsia="Calibri" w:hAnsi="Meta OFC" w:cs="Tahoma"/>
          <w:b/>
          <w:bCs/>
          <w:szCs w:val="24"/>
          <w:lang w:val="ro-RO"/>
        </w:rPr>
        <w:t xml:space="preserve">Concurs </w:t>
      </w:r>
      <w:r w:rsidR="00C673A4" w:rsidRPr="00C673A4">
        <w:rPr>
          <w:rFonts w:ascii="Meta OFC" w:eastAsia="Calibri" w:hAnsi="Meta OFC" w:cs="Tahoma"/>
          <w:b/>
          <w:bCs/>
          <w:szCs w:val="24"/>
          <w:lang w:val="ro-RO"/>
        </w:rPr>
        <w:t xml:space="preserve">pentru achiziția de mobilier școlar pentru Centrele Multifuncționale </w:t>
      </w:r>
      <w:r w:rsidR="009F7870">
        <w:rPr>
          <w:rFonts w:ascii="Meta OFC" w:eastAsia="Calibri" w:hAnsi="Meta OFC" w:cs="Tahoma"/>
          <w:b/>
          <w:bCs/>
          <w:szCs w:val="24"/>
          <w:lang w:val="ro-RO"/>
        </w:rPr>
        <w:t xml:space="preserve">ale </w:t>
      </w:r>
      <w:r w:rsidR="00C673A4" w:rsidRPr="00C673A4">
        <w:rPr>
          <w:rFonts w:ascii="Meta OFC" w:eastAsia="Calibri" w:hAnsi="Meta OFC" w:cs="Tahoma"/>
          <w:b/>
          <w:bCs/>
          <w:szCs w:val="24"/>
          <w:lang w:val="ro-RO"/>
        </w:rPr>
        <w:t>A.O. ”</w:t>
      </w:r>
      <w:r w:rsidR="00181341" w:rsidRPr="00C673A4">
        <w:rPr>
          <w:rFonts w:ascii="Meta OFC" w:eastAsia="Calibri" w:hAnsi="Meta OFC" w:cs="Tahoma"/>
          <w:b/>
          <w:bCs/>
          <w:szCs w:val="24"/>
          <w:lang w:val="ro-RO"/>
        </w:rPr>
        <w:t>CONCORDIA. PROIECTE SOCIALE</w:t>
      </w:r>
      <w:r w:rsidR="00C673A4" w:rsidRPr="00C673A4">
        <w:rPr>
          <w:rFonts w:ascii="Meta OFC" w:eastAsia="Calibri" w:hAnsi="Meta OFC" w:cs="Tahoma"/>
          <w:b/>
          <w:bCs/>
          <w:szCs w:val="24"/>
          <w:lang w:val="ro-RO"/>
        </w:rPr>
        <w:t>”</w:t>
      </w:r>
      <w:r w:rsidRPr="00EF1D16">
        <w:rPr>
          <w:rFonts w:ascii="Meta OFC" w:eastAsia="Calibri" w:hAnsi="Meta OFC" w:cs="Tahoma"/>
          <w:b/>
          <w:bCs/>
          <w:szCs w:val="24"/>
          <w:lang w:val="ro-RO"/>
        </w:rPr>
        <w:t xml:space="preserve"> </w:t>
      </w:r>
      <w:r w:rsidRPr="00EF1D16">
        <w:rPr>
          <w:rFonts w:ascii="Meta OFC" w:eastAsia="Calibri" w:hAnsi="Meta OFC" w:cs="Tahoma"/>
          <w:szCs w:val="24"/>
          <w:lang w:val="ro-RO"/>
        </w:rPr>
        <w:t xml:space="preserve">– se vor expedia: la adresa electronică </w:t>
      </w:r>
      <w:hyperlink r:id="rId14" w:history="1">
        <w:r w:rsidRPr="00EF1D16">
          <w:rPr>
            <w:rStyle w:val="Hyperlink"/>
            <w:rFonts w:ascii="Meta OFC" w:eastAsia="Calibri" w:hAnsi="Meta OFC"/>
            <w:szCs w:val="24"/>
            <w:lang w:val="ro-RO"/>
          </w:rPr>
          <w:t>moldova@concordia.md</w:t>
        </w:r>
      </w:hyperlink>
      <w:r w:rsidRPr="00EF1D16">
        <w:rPr>
          <w:rFonts w:ascii="Meta OFC" w:eastAsia="Calibri" w:hAnsi="Meta OFC" w:cs="Tahoma"/>
          <w:szCs w:val="24"/>
          <w:lang w:val="ro-RO"/>
        </w:rPr>
        <w:t xml:space="preserve"> semnate cu semnătură electronică</w:t>
      </w:r>
      <w:r w:rsidR="00181341">
        <w:rPr>
          <w:rFonts w:ascii="Meta OFC" w:eastAsia="Calibri" w:hAnsi="Meta OFC" w:cs="Tahoma"/>
          <w:szCs w:val="24"/>
          <w:lang w:val="ro-RO"/>
        </w:rPr>
        <w:t xml:space="preserve"> calificată</w:t>
      </w:r>
      <w:r w:rsidRPr="00EF1D16">
        <w:rPr>
          <w:rFonts w:ascii="Meta OFC" w:eastAsia="Calibri" w:hAnsi="Meta OFC" w:cs="Tahoma"/>
          <w:szCs w:val="24"/>
          <w:lang w:val="ro-RO"/>
        </w:rPr>
        <w:t xml:space="preserve"> sau se vor depune personal la sediul AO </w:t>
      </w:r>
      <w:r w:rsidR="00181341" w:rsidRPr="00EF1D16">
        <w:rPr>
          <w:rFonts w:ascii="Meta OFC" w:eastAsia="Calibri" w:hAnsi="Meta OFC" w:cs="Tahoma"/>
          <w:szCs w:val="24"/>
          <w:lang w:val="ro-RO"/>
        </w:rPr>
        <w:t>„CONCORDIA. PROIECTE SOCIALE”,</w:t>
      </w:r>
      <w:r w:rsidRPr="00EF1D16">
        <w:rPr>
          <w:rFonts w:ascii="Meta OFC" w:eastAsia="Calibri" w:hAnsi="Meta OFC" w:cs="Tahoma"/>
          <w:szCs w:val="24"/>
          <w:lang w:val="ro-RO"/>
        </w:rPr>
        <w:t xml:space="preserve"> mun. Chișinău, str. Anatol </w:t>
      </w:r>
      <w:proofErr w:type="spellStart"/>
      <w:r w:rsidRPr="00EF1D16">
        <w:rPr>
          <w:rFonts w:ascii="Meta OFC" w:eastAsia="Calibri" w:hAnsi="Meta OFC" w:cs="Tahoma"/>
          <w:szCs w:val="24"/>
          <w:lang w:val="ro-RO"/>
        </w:rPr>
        <w:t>Corobceanu</w:t>
      </w:r>
      <w:proofErr w:type="spellEnd"/>
      <w:r w:rsidRPr="00EF1D16">
        <w:rPr>
          <w:rFonts w:ascii="Meta OFC" w:eastAsia="Calibri" w:hAnsi="Meta OFC" w:cs="Tahoma"/>
          <w:szCs w:val="24"/>
          <w:lang w:val="ro-RO"/>
        </w:rPr>
        <w:t xml:space="preserve">, 13/1, semnate </w:t>
      </w:r>
      <w:r>
        <w:rPr>
          <w:rFonts w:ascii="Meta OFC" w:eastAsia="Calibri" w:hAnsi="Meta OFC" w:cs="Tahoma"/>
          <w:szCs w:val="24"/>
          <w:lang w:val="ro-RO"/>
        </w:rPr>
        <w:t xml:space="preserve">olograf </w:t>
      </w:r>
      <w:r w:rsidRPr="00EF1D16">
        <w:rPr>
          <w:rFonts w:ascii="Meta OFC" w:eastAsia="Calibri" w:hAnsi="Meta OFC" w:cs="Tahoma"/>
          <w:szCs w:val="24"/>
          <w:lang w:val="ro-RO"/>
        </w:rPr>
        <w:t>și ștampilate, în plicuri sigilate.</w:t>
      </w:r>
    </w:p>
    <w:p w14:paraId="4049746E" w14:textId="6766D9FC"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EF1D16">
        <w:rPr>
          <w:rFonts w:ascii="Meta OFC" w:eastAsia="Calibri" w:hAnsi="Meta OFC" w:cs="Tahoma"/>
          <w:szCs w:val="24"/>
          <w:lang w:val="ro-RO"/>
        </w:rPr>
        <w:t xml:space="preserve">Ofertele vor fi </w:t>
      </w:r>
      <w:r w:rsidR="00181341">
        <w:rPr>
          <w:rFonts w:ascii="Meta OFC" w:eastAsia="Calibri" w:hAnsi="Meta OFC" w:cs="Tahoma"/>
          <w:szCs w:val="24"/>
          <w:lang w:val="ro-RO"/>
        </w:rPr>
        <w:t>analizate</w:t>
      </w:r>
      <w:r w:rsidRPr="00EF1D16">
        <w:rPr>
          <w:rFonts w:ascii="Meta OFC" w:eastAsia="Calibri" w:hAnsi="Meta OFC" w:cs="Tahoma"/>
          <w:szCs w:val="24"/>
          <w:lang w:val="ro-RO"/>
        </w:rPr>
        <w:t xml:space="preserve"> în cadrul unei comisii formate în acest scop după data limită de depunere a ofertelor. În baza rezultatelor evaluării de către comisie, va fi semnat un contract de achiziții cu compania/companiile care vor fi selectate câștigătoare. </w:t>
      </w:r>
    </w:p>
    <w:p w14:paraId="5D0467AA" w14:textId="7C1F2AEA" w:rsidR="008A4627" w:rsidRPr="00EF1D16" w:rsidRDefault="00A20074"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C673A4">
        <w:rPr>
          <w:rStyle w:val="ui-provider"/>
          <w:rFonts w:ascii="Meta OFC" w:hAnsi="Meta OFC"/>
          <w:szCs w:val="24"/>
        </w:rPr>
        <w:t>A.O. ”CONCORDIA. Proiecte Sociale”</w:t>
      </w:r>
      <w:r>
        <w:rPr>
          <w:rStyle w:val="ui-provider"/>
          <w:rFonts w:ascii="Meta OFC" w:hAnsi="Meta OFC"/>
          <w:szCs w:val="24"/>
        </w:rPr>
        <w:t xml:space="preserve"> </w:t>
      </w:r>
      <w:r w:rsidR="008A4627" w:rsidRPr="00EF1D16">
        <w:rPr>
          <w:rFonts w:ascii="Meta OFC" w:eastAsia="Calibri" w:hAnsi="Meta OFC" w:cs="Tahoma"/>
          <w:szCs w:val="24"/>
          <w:lang w:val="ro-RO"/>
        </w:rPr>
        <w:t>își rezervă dreptul de a modifica solicitările pe parcursul executării contractului (în dependență de necesități</w:t>
      </w:r>
      <w:r w:rsidR="00181341">
        <w:rPr>
          <w:rFonts w:ascii="Meta OFC" w:eastAsia="Calibri" w:hAnsi="Meta OFC" w:cs="Tahoma"/>
          <w:szCs w:val="24"/>
          <w:lang w:val="ro-RO"/>
        </w:rPr>
        <w:t>, inclusiv cantitățile produselor</w:t>
      </w:r>
      <w:r w:rsidR="008A4627" w:rsidRPr="00EF1D16">
        <w:rPr>
          <w:rFonts w:ascii="Meta OFC" w:eastAsia="Calibri" w:hAnsi="Meta OFC" w:cs="Tahoma"/>
          <w:szCs w:val="24"/>
          <w:lang w:val="ro-RO"/>
        </w:rPr>
        <w:t>).</w:t>
      </w:r>
    </w:p>
    <w:p w14:paraId="0D09DE72" w14:textId="4F9F9A0E" w:rsidR="008A4627" w:rsidRPr="00EF1D16" w:rsidRDefault="008A4627" w:rsidP="008A4627">
      <w:pPr>
        <w:widowControl w:val="0"/>
        <w:kinsoku w:val="0"/>
        <w:overflowPunct w:val="0"/>
        <w:autoSpaceDE w:val="0"/>
        <w:autoSpaceDN w:val="0"/>
        <w:adjustRightInd w:val="0"/>
        <w:spacing w:after="120" w:line="23" w:lineRule="atLeast"/>
        <w:jc w:val="both"/>
        <w:rPr>
          <w:rFonts w:ascii="Meta OFC" w:eastAsia="Calibri" w:hAnsi="Meta OFC" w:cs="Tahoma"/>
          <w:szCs w:val="24"/>
          <w:lang w:val="ro-RO"/>
        </w:rPr>
      </w:pPr>
      <w:r w:rsidRPr="00EF1D16">
        <w:rPr>
          <w:rFonts w:ascii="Meta OFC" w:eastAsia="Calibri" w:hAnsi="Meta OFC" w:cs="Tahoma"/>
          <w:szCs w:val="24"/>
          <w:lang w:val="ro-RO"/>
        </w:rPr>
        <w:t xml:space="preserve">Contractul cu compania câștigătoare va fi semnat în MDL. Prețul stabilit în contract va rămâne fix pe toată perioada de implementare a contractului (cu excepția cazurilor când vor fi modificate </w:t>
      </w:r>
      <w:r w:rsidR="00A20074">
        <w:rPr>
          <w:rFonts w:ascii="Meta OFC" w:eastAsia="Calibri" w:hAnsi="Meta OFC" w:cs="Tahoma"/>
          <w:szCs w:val="24"/>
          <w:lang w:val="ro-RO"/>
        </w:rPr>
        <w:t>condițiile / bunurile solicitate</w:t>
      </w:r>
      <w:r w:rsidRPr="00EF1D16">
        <w:rPr>
          <w:rFonts w:ascii="Meta OFC" w:eastAsia="Calibri" w:hAnsi="Meta OFC" w:cs="Tahoma"/>
          <w:szCs w:val="24"/>
          <w:lang w:val="ro-RO"/>
        </w:rPr>
        <w:t xml:space="preserve">). </w:t>
      </w:r>
    </w:p>
    <w:p w14:paraId="083EF38A" w14:textId="579F5EB2" w:rsidR="008A4627" w:rsidRPr="00A831F0" w:rsidRDefault="00522F34" w:rsidP="0028455E">
      <w:pPr>
        <w:widowControl w:val="0"/>
        <w:kinsoku w:val="0"/>
        <w:overflowPunct w:val="0"/>
        <w:autoSpaceDE w:val="0"/>
        <w:autoSpaceDN w:val="0"/>
        <w:adjustRightInd w:val="0"/>
        <w:spacing w:after="120" w:line="23" w:lineRule="atLeast"/>
        <w:jc w:val="both"/>
        <w:rPr>
          <w:b/>
          <w:bCs/>
        </w:rPr>
      </w:pPr>
      <w:r w:rsidRPr="00522F34">
        <w:rPr>
          <w:rFonts w:ascii="Meta OFC" w:hAnsi="Meta OFC" w:cs="Open Sans"/>
          <w:color w:val="191919"/>
          <w:szCs w:val="24"/>
          <w:lang w:val="ro-RO"/>
        </w:rPr>
        <w:t xml:space="preserve">Pentru informații suplimentare ne puteți contacta la numărul de telefon </w:t>
      </w:r>
      <w:r w:rsidRPr="00522F34">
        <w:rPr>
          <w:rFonts w:ascii="Meta OFC" w:hAnsi="Meta OFC" w:cs="Open Sans"/>
          <w:b/>
          <w:bCs/>
          <w:color w:val="191919"/>
          <w:szCs w:val="24"/>
          <w:lang w:val="ro-RO"/>
        </w:rPr>
        <w:t xml:space="preserve">068685003 </w:t>
      </w:r>
      <w:r w:rsidRPr="00522F34">
        <w:rPr>
          <w:rFonts w:ascii="Meta OFC" w:hAnsi="Meta OFC" w:cs="Open Sans"/>
          <w:color w:val="191919"/>
          <w:szCs w:val="24"/>
          <w:lang w:val="ro-RO"/>
        </w:rPr>
        <w:t>sau la adresa de email</w:t>
      </w:r>
      <w:r w:rsidR="0027127F">
        <w:rPr>
          <w:rFonts w:ascii="Meta OFC" w:hAnsi="Meta OFC" w:cs="Open Sans"/>
          <w:color w:val="191919"/>
          <w:szCs w:val="24"/>
          <w:lang w:val="ro-RO"/>
        </w:rPr>
        <w:t xml:space="preserve"> </w:t>
      </w:r>
      <w:hyperlink r:id="rId15" w:history="1">
        <w:r w:rsidR="008A6A2F" w:rsidRPr="0036063D">
          <w:rPr>
            <w:rStyle w:val="Hyperlink"/>
            <w:rFonts w:ascii="Meta OFC" w:hAnsi="Meta OFC" w:cs="Open Sans"/>
            <w:szCs w:val="24"/>
            <w:lang w:val="ro-RO"/>
          </w:rPr>
          <w:t>iuliana.cupcinenco@concordia.md</w:t>
        </w:r>
      </w:hyperlink>
      <w:r w:rsidR="008A6A2F">
        <w:rPr>
          <w:rFonts w:ascii="Meta OFC" w:hAnsi="Meta OFC" w:cs="Open Sans"/>
          <w:color w:val="191919"/>
          <w:szCs w:val="24"/>
          <w:lang w:val="ro-RO"/>
        </w:rPr>
        <w:t>.</w:t>
      </w:r>
      <w:r w:rsidRPr="00522F34">
        <w:rPr>
          <w:rFonts w:ascii="Meta OFC" w:hAnsi="Meta OFC" w:cs="Open Sans"/>
          <w:color w:val="191919"/>
          <w:szCs w:val="24"/>
          <w:lang w:val="ro-RO"/>
        </w:rPr>
        <w:t xml:space="preserve"> Perioada pentru informații și clarificări: </w:t>
      </w:r>
      <w:r w:rsidRPr="00A831F0">
        <w:rPr>
          <w:rFonts w:ascii="Meta OFC" w:hAnsi="Meta OFC" w:cs="Open Sans"/>
          <w:b/>
          <w:bCs/>
          <w:color w:val="191919"/>
          <w:szCs w:val="24"/>
          <w:lang w:val="ro-RO"/>
        </w:rPr>
        <w:t>până la 27 Mai 2026.</w:t>
      </w:r>
    </w:p>
    <w:p w14:paraId="7211A2C3" w14:textId="77777777" w:rsidR="008A4627" w:rsidRPr="00EF1D16" w:rsidRDefault="008A4627" w:rsidP="008A4627">
      <w:pPr>
        <w:shd w:val="clear" w:color="auto" w:fill="FFFFFF"/>
        <w:spacing w:after="120"/>
        <w:jc w:val="both"/>
        <w:rPr>
          <w:rFonts w:ascii="Meta OFC" w:hAnsi="Meta OFC" w:cs="Open Sans"/>
          <w:color w:val="191919"/>
          <w:szCs w:val="24"/>
          <w:lang w:val="ro-RO"/>
        </w:rPr>
      </w:pPr>
      <w:r w:rsidRPr="00EF1D16">
        <w:rPr>
          <w:rFonts w:ascii="Meta OFC" w:eastAsia="Calibri" w:hAnsi="Meta OFC" w:cs="Tahoma"/>
          <w:szCs w:val="24"/>
          <w:lang w:val="ro-RO"/>
        </w:rPr>
        <w:t xml:space="preserve">AO „CONCORDIA. Proiecte Sociale” </w:t>
      </w:r>
      <w:r w:rsidRPr="00EF1D16">
        <w:rPr>
          <w:rFonts w:ascii="Meta OFC" w:hAnsi="Meta OFC" w:cs="Open Sans"/>
          <w:color w:val="191919"/>
          <w:szCs w:val="24"/>
          <w:lang w:val="ro-RO"/>
        </w:rPr>
        <w:t xml:space="preserve">își rezervă dreptul de a anula și/sau a suspenda procedura de selecție, total sau parțial și de a respinge toate ofertele în orice moment înainte de adjudecarea contractului, inclusiv în cazul în care se află în imposibilitatea acoperirii financiare sau în cazurile necorespunderii ofertelor cerințelor stabilite în prezenta documentație, fără a-și crea astfel anumite obligații și a purta răspundere față de ofertanți. </w:t>
      </w:r>
    </w:p>
    <w:p w14:paraId="299E046F" w14:textId="77777777" w:rsidR="008A4627" w:rsidRPr="00EF1D16" w:rsidRDefault="008A4627" w:rsidP="008A4627">
      <w:pPr>
        <w:rPr>
          <w:rFonts w:ascii="Meta OFC" w:hAnsi="Meta OFC" w:cs="Open Sans"/>
          <w:color w:val="191919"/>
          <w:szCs w:val="24"/>
          <w:lang w:val="ro-RO"/>
        </w:rPr>
      </w:pPr>
    </w:p>
    <w:p w14:paraId="2A3B197A" w14:textId="7FC62CD5" w:rsidR="001F5283" w:rsidRPr="0048320F" w:rsidRDefault="001F5283" w:rsidP="00E96F99">
      <w:pPr>
        <w:rPr>
          <w:rFonts w:ascii="Meta OFC" w:hAnsi="Meta OFC"/>
          <w:i/>
          <w:iCs/>
          <w:lang w:val="ro-RO"/>
        </w:rPr>
      </w:pPr>
    </w:p>
    <w:sectPr w:rsidR="001F5283" w:rsidRPr="0048320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717C" w14:textId="77777777" w:rsidR="004A507E" w:rsidRDefault="004A507E" w:rsidP="00AE12AC">
      <w:pPr>
        <w:spacing w:after="0" w:line="240" w:lineRule="auto"/>
      </w:pPr>
      <w:r>
        <w:separator/>
      </w:r>
    </w:p>
  </w:endnote>
  <w:endnote w:type="continuationSeparator" w:id="0">
    <w:p w14:paraId="576B22CB" w14:textId="77777777" w:rsidR="004A507E" w:rsidRDefault="004A507E" w:rsidP="00AE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font>
  <w:font w:name="Meta OFC">
    <w:altName w:val="Cambria"/>
    <w:panose1 w:val="02000503040000020004"/>
    <w:charset w:val="00"/>
    <w:family w:val="auto"/>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Bold">
    <w:altName w:val="Tahoma"/>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C729" w14:textId="77777777" w:rsidR="004A507E" w:rsidRDefault="004A507E" w:rsidP="00AE12AC">
      <w:pPr>
        <w:spacing w:after="0" w:line="240" w:lineRule="auto"/>
      </w:pPr>
      <w:r>
        <w:separator/>
      </w:r>
    </w:p>
  </w:footnote>
  <w:footnote w:type="continuationSeparator" w:id="0">
    <w:p w14:paraId="6700FE41" w14:textId="77777777" w:rsidR="004A507E" w:rsidRDefault="004A507E" w:rsidP="00AE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8748" w14:textId="5243EFB7" w:rsidR="00AE12AC" w:rsidRDefault="00863FE9">
    <w:pPr>
      <w:pStyle w:val="Header"/>
    </w:pPr>
    <w:r>
      <w:rPr>
        <w:noProof/>
      </w:rPr>
      <w:drawing>
        <wp:anchor distT="0" distB="0" distL="114300" distR="114300" simplePos="0" relativeHeight="251658240" behindDoc="0" locked="0" layoutInCell="1" allowOverlap="1" wp14:anchorId="55F64662" wp14:editId="076032B5">
          <wp:simplePos x="0" y="0"/>
          <wp:positionH relativeFrom="column">
            <wp:posOffset>4086225</wp:posOffset>
          </wp:positionH>
          <wp:positionV relativeFrom="paragraph">
            <wp:posOffset>-249555</wp:posOffset>
          </wp:positionV>
          <wp:extent cx="1597660" cy="5803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97660" cy="580390"/>
                  </a:xfrm>
                  <a:prstGeom prst="rect">
                    <a:avLst/>
                  </a:prstGeom>
                </pic:spPr>
              </pic:pic>
            </a:graphicData>
          </a:graphic>
        </wp:anchor>
      </w:drawing>
    </w:r>
    <w:r w:rsidR="00FE0267">
      <w:rPr>
        <w:noProof/>
      </w:rPr>
      <w:t xml:space="preserve">  </w:t>
    </w:r>
    <w:r w:rsidR="00181341">
      <w:rPr>
        <w:noProof/>
      </w:rPr>
      <w:tab/>
    </w:r>
    <w:r w:rsidR="00FE026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EF0"/>
    <w:multiLevelType w:val="multilevel"/>
    <w:tmpl w:val="1B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74D25"/>
    <w:multiLevelType w:val="multilevel"/>
    <w:tmpl w:val="82A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A3724"/>
    <w:multiLevelType w:val="hybridMultilevel"/>
    <w:tmpl w:val="548611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5A5FDB"/>
    <w:multiLevelType w:val="hybridMultilevel"/>
    <w:tmpl w:val="403C9C34"/>
    <w:lvl w:ilvl="0" w:tplc="1430DBFC">
      <w:start w:val="1"/>
      <w:numFmt w:val="decimal"/>
      <w:lvlText w:val="%1)"/>
      <w:lvlJc w:val="left"/>
      <w:pPr>
        <w:ind w:left="763" w:hanging="360"/>
      </w:pPr>
      <w:rPr>
        <w:b w:val="0"/>
        <w:bCs w:val="0"/>
        <w:color w:val="auto"/>
      </w:rPr>
    </w:lvl>
    <w:lvl w:ilvl="1" w:tplc="04180019" w:tentative="1">
      <w:start w:val="1"/>
      <w:numFmt w:val="lowerLetter"/>
      <w:lvlText w:val="%2."/>
      <w:lvlJc w:val="left"/>
      <w:pPr>
        <w:ind w:left="1483" w:hanging="360"/>
      </w:pPr>
    </w:lvl>
    <w:lvl w:ilvl="2" w:tplc="0418001B" w:tentative="1">
      <w:start w:val="1"/>
      <w:numFmt w:val="lowerRoman"/>
      <w:lvlText w:val="%3."/>
      <w:lvlJc w:val="right"/>
      <w:pPr>
        <w:ind w:left="2203" w:hanging="180"/>
      </w:pPr>
    </w:lvl>
    <w:lvl w:ilvl="3" w:tplc="0418000F" w:tentative="1">
      <w:start w:val="1"/>
      <w:numFmt w:val="decimal"/>
      <w:lvlText w:val="%4."/>
      <w:lvlJc w:val="left"/>
      <w:pPr>
        <w:ind w:left="2923" w:hanging="360"/>
      </w:pPr>
    </w:lvl>
    <w:lvl w:ilvl="4" w:tplc="04180019" w:tentative="1">
      <w:start w:val="1"/>
      <w:numFmt w:val="lowerLetter"/>
      <w:lvlText w:val="%5."/>
      <w:lvlJc w:val="left"/>
      <w:pPr>
        <w:ind w:left="3643" w:hanging="360"/>
      </w:pPr>
    </w:lvl>
    <w:lvl w:ilvl="5" w:tplc="0418001B" w:tentative="1">
      <w:start w:val="1"/>
      <w:numFmt w:val="lowerRoman"/>
      <w:lvlText w:val="%6."/>
      <w:lvlJc w:val="right"/>
      <w:pPr>
        <w:ind w:left="4363" w:hanging="180"/>
      </w:pPr>
    </w:lvl>
    <w:lvl w:ilvl="6" w:tplc="0418000F" w:tentative="1">
      <w:start w:val="1"/>
      <w:numFmt w:val="decimal"/>
      <w:lvlText w:val="%7."/>
      <w:lvlJc w:val="left"/>
      <w:pPr>
        <w:ind w:left="5083" w:hanging="360"/>
      </w:pPr>
    </w:lvl>
    <w:lvl w:ilvl="7" w:tplc="04180019" w:tentative="1">
      <w:start w:val="1"/>
      <w:numFmt w:val="lowerLetter"/>
      <w:lvlText w:val="%8."/>
      <w:lvlJc w:val="left"/>
      <w:pPr>
        <w:ind w:left="5803" w:hanging="360"/>
      </w:pPr>
    </w:lvl>
    <w:lvl w:ilvl="8" w:tplc="0418001B" w:tentative="1">
      <w:start w:val="1"/>
      <w:numFmt w:val="lowerRoman"/>
      <w:lvlText w:val="%9."/>
      <w:lvlJc w:val="right"/>
      <w:pPr>
        <w:ind w:left="6523" w:hanging="180"/>
      </w:pPr>
    </w:lvl>
  </w:abstractNum>
  <w:abstractNum w:abstractNumId="4" w15:restartNumberingAfterBreak="0">
    <w:nsid w:val="37323D4F"/>
    <w:multiLevelType w:val="multilevel"/>
    <w:tmpl w:val="0FC2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361BE"/>
    <w:multiLevelType w:val="multilevel"/>
    <w:tmpl w:val="0FC2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EB6BB3"/>
    <w:multiLevelType w:val="multilevel"/>
    <w:tmpl w:val="1DC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755ED"/>
    <w:multiLevelType w:val="hybridMultilevel"/>
    <w:tmpl w:val="3F68C328"/>
    <w:lvl w:ilvl="0" w:tplc="1AC8CF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63B27E6"/>
    <w:multiLevelType w:val="multilevel"/>
    <w:tmpl w:val="9AA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F6617"/>
    <w:multiLevelType w:val="multilevel"/>
    <w:tmpl w:val="B402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F0476"/>
    <w:multiLevelType w:val="hybridMultilevel"/>
    <w:tmpl w:val="A948AF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2841750">
    <w:abstractNumId w:val="5"/>
  </w:num>
  <w:num w:numId="2" w16cid:durableId="1463620799">
    <w:abstractNumId w:val="0"/>
  </w:num>
  <w:num w:numId="3" w16cid:durableId="344408500">
    <w:abstractNumId w:val="4"/>
  </w:num>
  <w:num w:numId="4" w16cid:durableId="892303418">
    <w:abstractNumId w:val="8"/>
  </w:num>
  <w:num w:numId="5" w16cid:durableId="166752306">
    <w:abstractNumId w:val="6"/>
  </w:num>
  <w:num w:numId="6" w16cid:durableId="795757364">
    <w:abstractNumId w:val="1"/>
  </w:num>
  <w:num w:numId="7" w16cid:durableId="1331758559">
    <w:abstractNumId w:val="9"/>
  </w:num>
  <w:num w:numId="8" w16cid:durableId="1298300050">
    <w:abstractNumId w:val="3"/>
  </w:num>
  <w:num w:numId="9" w16cid:durableId="97219151">
    <w:abstractNumId w:val="10"/>
  </w:num>
  <w:num w:numId="10" w16cid:durableId="306516549">
    <w:abstractNumId w:val="2"/>
  </w:num>
  <w:num w:numId="11" w16cid:durableId="2144418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C6"/>
    <w:rsid w:val="0001361B"/>
    <w:rsid w:val="0002184A"/>
    <w:rsid w:val="0004436C"/>
    <w:rsid w:val="00046A8C"/>
    <w:rsid w:val="000622CE"/>
    <w:rsid w:val="000638A4"/>
    <w:rsid w:val="00081B0C"/>
    <w:rsid w:val="00082C45"/>
    <w:rsid w:val="00096042"/>
    <w:rsid w:val="000A277C"/>
    <w:rsid w:val="000B4A5B"/>
    <w:rsid w:val="000B6A61"/>
    <w:rsid w:val="000B7831"/>
    <w:rsid w:val="000D501E"/>
    <w:rsid w:val="000D6B36"/>
    <w:rsid w:val="000E46B9"/>
    <w:rsid w:val="000E4DE9"/>
    <w:rsid w:val="000E54F5"/>
    <w:rsid w:val="000F0C10"/>
    <w:rsid w:val="000F3D7D"/>
    <w:rsid w:val="001008E1"/>
    <w:rsid w:val="0011475A"/>
    <w:rsid w:val="00115AA6"/>
    <w:rsid w:val="001210C9"/>
    <w:rsid w:val="00126A7C"/>
    <w:rsid w:val="0014487D"/>
    <w:rsid w:val="001459CA"/>
    <w:rsid w:val="001519A5"/>
    <w:rsid w:val="001523C5"/>
    <w:rsid w:val="00165B10"/>
    <w:rsid w:val="00177AAF"/>
    <w:rsid w:val="00181341"/>
    <w:rsid w:val="001849AA"/>
    <w:rsid w:val="001A69A7"/>
    <w:rsid w:val="001B4221"/>
    <w:rsid w:val="001B5973"/>
    <w:rsid w:val="001C5918"/>
    <w:rsid w:val="001D00B8"/>
    <w:rsid w:val="001D1757"/>
    <w:rsid w:val="001D322B"/>
    <w:rsid w:val="001D7624"/>
    <w:rsid w:val="001E1A4D"/>
    <w:rsid w:val="001E1F60"/>
    <w:rsid w:val="001E2DF6"/>
    <w:rsid w:val="001F5283"/>
    <w:rsid w:val="00203E02"/>
    <w:rsid w:val="002109BC"/>
    <w:rsid w:val="00217812"/>
    <w:rsid w:val="00231848"/>
    <w:rsid w:val="0024103C"/>
    <w:rsid w:val="002423F2"/>
    <w:rsid w:val="00254F16"/>
    <w:rsid w:val="002556A6"/>
    <w:rsid w:val="002616E0"/>
    <w:rsid w:val="00262CC4"/>
    <w:rsid w:val="00265692"/>
    <w:rsid w:val="0027127F"/>
    <w:rsid w:val="00272D2D"/>
    <w:rsid w:val="00276506"/>
    <w:rsid w:val="00281690"/>
    <w:rsid w:val="0028455E"/>
    <w:rsid w:val="0029093C"/>
    <w:rsid w:val="002919EE"/>
    <w:rsid w:val="002922A9"/>
    <w:rsid w:val="00296750"/>
    <w:rsid w:val="002B2EEF"/>
    <w:rsid w:val="002B39B3"/>
    <w:rsid w:val="002B618A"/>
    <w:rsid w:val="002C22FE"/>
    <w:rsid w:val="002D7B7C"/>
    <w:rsid w:val="002E37B1"/>
    <w:rsid w:val="002F3DE4"/>
    <w:rsid w:val="002F3FD8"/>
    <w:rsid w:val="002F43F8"/>
    <w:rsid w:val="00300000"/>
    <w:rsid w:val="0030327C"/>
    <w:rsid w:val="0030710E"/>
    <w:rsid w:val="003102A5"/>
    <w:rsid w:val="00311318"/>
    <w:rsid w:val="003136A8"/>
    <w:rsid w:val="003529C8"/>
    <w:rsid w:val="00352A67"/>
    <w:rsid w:val="00357384"/>
    <w:rsid w:val="00361F79"/>
    <w:rsid w:val="00374D0C"/>
    <w:rsid w:val="003765B8"/>
    <w:rsid w:val="003A046F"/>
    <w:rsid w:val="003B420F"/>
    <w:rsid w:val="003C0598"/>
    <w:rsid w:val="003C2108"/>
    <w:rsid w:val="003C43CD"/>
    <w:rsid w:val="003D2583"/>
    <w:rsid w:val="003D46B3"/>
    <w:rsid w:val="003D4CF7"/>
    <w:rsid w:val="003E1B96"/>
    <w:rsid w:val="003F3361"/>
    <w:rsid w:val="004003BE"/>
    <w:rsid w:val="00400D70"/>
    <w:rsid w:val="00403AE7"/>
    <w:rsid w:val="004061DD"/>
    <w:rsid w:val="00407347"/>
    <w:rsid w:val="00407C76"/>
    <w:rsid w:val="004135A8"/>
    <w:rsid w:val="0041476F"/>
    <w:rsid w:val="00417C16"/>
    <w:rsid w:val="0042296A"/>
    <w:rsid w:val="00426DAF"/>
    <w:rsid w:val="00431597"/>
    <w:rsid w:val="00431FE5"/>
    <w:rsid w:val="00432941"/>
    <w:rsid w:val="004430AD"/>
    <w:rsid w:val="00456F51"/>
    <w:rsid w:val="004577AB"/>
    <w:rsid w:val="00474701"/>
    <w:rsid w:val="0048320F"/>
    <w:rsid w:val="00485240"/>
    <w:rsid w:val="00485F3D"/>
    <w:rsid w:val="0048744A"/>
    <w:rsid w:val="00492DDF"/>
    <w:rsid w:val="004A507E"/>
    <w:rsid w:val="004B5210"/>
    <w:rsid w:val="004B77CA"/>
    <w:rsid w:val="004C1710"/>
    <w:rsid w:val="004C797C"/>
    <w:rsid w:val="004C7B87"/>
    <w:rsid w:val="004D272F"/>
    <w:rsid w:val="004D3CB9"/>
    <w:rsid w:val="004D41BC"/>
    <w:rsid w:val="004D6CA8"/>
    <w:rsid w:val="004D6F2F"/>
    <w:rsid w:val="004E52F0"/>
    <w:rsid w:val="004F230C"/>
    <w:rsid w:val="00502202"/>
    <w:rsid w:val="0050581E"/>
    <w:rsid w:val="00507538"/>
    <w:rsid w:val="00511527"/>
    <w:rsid w:val="00512722"/>
    <w:rsid w:val="00514017"/>
    <w:rsid w:val="00522F34"/>
    <w:rsid w:val="00524922"/>
    <w:rsid w:val="005250E8"/>
    <w:rsid w:val="00527A63"/>
    <w:rsid w:val="00532C9A"/>
    <w:rsid w:val="00546D03"/>
    <w:rsid w:val="00554D3D"/>
    <w:rsid w:val="0057213E"/>
    <w:rsid w:val="005723D9"/>
    <w:rsid w:val="00576EF1"/>
    <w:rsid w:val="00577FF6"/>
    <w:rsid w:val="00582BF1"/>
    <w:rsid w:val="005A6CB1"/>
    <w:rsid w:val="005B3763"/>
    <w:rsid w:val="005B5F9D"/>
    <w:rsid w:val="005C4864"/>
    <w:rsid w:val="005D5019"/>
    <w:rsid w:val="005D684F"/>
    <w:rsid w:val="005E23E4"/>
    <w:rsid w:val="005E4BEE"/>
    <w:rsid w:val="005F717E"/>
    <w:rsid w:val="00603205"/>
    <w:rsid w:val="0060340F"/>
    <w:rsid w:val="006152FA"/>
    <w:rsid w:val="006206EA"/>
    <w:rsid w:val="0062122D"/>
    <w:rsid w:val="00622ED4"/>
    <w:rsid w:val="006254FF"/>
    <w:rsid w:val="00626EF1"/>
    <w:rsid w:val="00643D81"/>
    <w:rsid w:val="006556AA"/>
    <w:rsid w:val="00671C57"/>
    <w:rsid w:val="00672AC8"/>
    <w:rsid w:val="006746DD"/>
    <w:rsid w:val="00690E73"/>
    <w:rsid w:val="0069470B"/>
    <w:rsid w:val="006973B7"/>
    <w:rsid w:val="006A3264"/>
    <w:rsid w:val="006A3B94"/>
    <w:rsid w:val="006A7452"/>
    <w:rsid w:val="006D09C2"/>
    <w:rsid w:val="006E7912"/>
    <w:rsid w:val="006E7DE6"/>
    <w:rsid w:val="006F249D"/>
    <w:rsid w:val="006F5379"/>
    <w:rsid w:val="006F6D06"/>
    <w:rsid w:val="00704EC4"/>
    <w:rsid w:val="007116CF"/>
    <w:rsid w:val="00713ADD"/>
    <w:rsid w:val="007416D1"/>
    <w:rsid w:val="007433CE"/>
    <w:rsid w:val="00750982"/>
    <w:rsid w:val="00754D07"/>
    <w:rsid w:val="00755D50"/>
    <w:rsid w:val="00760A23"/>
    <w:rsid w:val="00763340"/>
    <w:rsid w:val="00770A26"/>
    <w:rsid w:val="00770D02"/>
    <w:rsid w:val="00774921"/>
    <w:rsid w:val="0078287D"/>
    <w:rsid w:val="00787700"/>
    <w:rsid w:val="00790DF0"/>
    <w:rsid w:val="0079397C"/>
    <w:rsid w:val="007A42A5"/>
    <w:rsid w:val="007A7EE5"/>
    <w:rsid w:val="007B10E3"/>
    <w:rsid w:val="007C1087"/>
    <w:rsid w:val="007C5649"/>
    <w:rsid w:val="007D0E0F"/>
    <w:rsid w:val="007D361F"/>
    <w:rsid w:val="007E7252"/>
    <w:rsid w:val="007F2090"/>
    <w:rsid w:val="00801406"/>
    <w:rsid w:val="00811C9F"/>
    <w:rsid w:val="008242AF"/>
    <w:rsid w:val="008270EA"/>
    <w:rsid w:val="00833CDE"/>
    <w:rsid w:val="00840FD8"/>
    <w:rsid w:val="00842731"/>
    <w:rsid w:val="00854C42"/>
    <w:rsid w:val="008607A2"/>
    <w:rsid w:val="00863FE9"/>
    <w:rsid w:val="00866B79"/>
    <w:rsid w:val="008729F6"/>
    <w:rsid w:val="008770DD"/>
    <w:rsid w:val="00882C5A"/>
    <w:rsid w:val="008850B2"/>
    <w:rsid w:val="00891448"/>
    <w:rsid w:val="00894B7C"/>
    <w:rsid w:val="00894D91"/>
    <w:rsid w:val="0089625B"/>
    <w:rsid w:val="008A4627"/>
    <w:rsid w:val="008A6A2F"/>
    <w:rsid w:val="008B039A"/>
    <w:rsid w:val="008B4319"/>
    <w:rsid w:val="008C1DD7"/>
    <w:rsid w:val="008C66A8"/>
    <w:rsid w:val="008D3D0B"/>
    <w:rsid w:val="008D423B"/>
    <w:rsid w:val="008D6196"/>
    <w:rsid w:val="008F3480"/>
    <w:rsid w:val="009077D3"/>
    <w:rsid w:val="00910762"/>
    <w:rsid w:val="0094103C"/>
    <w:rsid w:val="009432D1"/>
    <w:rsid w:val="00944B11"/>
    <w:rsid w:val="00965209"/>
    <w:rsid w:val="00980FD1"/>
    <w:rsid w:val="0098204F"/>
    <w:rsid w:val="00983FE4"/>
    <w:rsid w:val="00990276"/>
    <w:rsid w:val="009929CE"/>
    <w:rsid w:val="009A11ED"/>
    <w:rsid w:val="009A15DF"/>
    <w:rsid w:val="009B76B0"/>
    <w:rsid w:val="009C0800"/>
    <w:rsid w:val="009C37F9"/>
    <w:rsid w:val="009C6217"/>
    <w:rsid w:val="009D028C"/>
    <w:rsid w:val="009D674F"/>
    <w:rsid w:val="009E2392"/>
    <w:rsid w:val="009F5468"/>
    <w:rsid w:val="009F7870"/>
    <w:rsid w:val="009F7A91"/>
    <w:rsid w:val="00A04EBA"/>
    <w:rsid w:val="00A06BBD"/>
    <w:rsid w:val="00A17534"/>
    <w:rsid w:val="00A20074"/>
    <w:rsid w:val="00A263C3"/>
    <w:rsid w:val="00A33CFF"/>
    <w:rsid w:val="00A4297C"/>
    <w:rsid w:val="00A42D0A"/>
    <w:rsid w:val="00A4476B"/>
    <w:rsid w:val="00A51D23"/>
    <w:rsid w:val="00A53488"/>
    <w:rsid w:val="00A57316"/>
    <w:rsid w:val="00A614D4"/>
    <w:rsid w:val="00A62CF6"/>
    <w:rsid w:val="00A70AA4"/>
    <w:rsid w:val="00A751FA"/>
    <w:rsid w:val="00A75A00"/>
    <w:rsid w:val="00A77495"/>
    <w:rsid w:val="00A831F0"/>
    <w:rsid w:val="00A913C6"/>
    <w:rsid w:val="00A95978"/>
    <w:rsid w:val="00A96284"/>
    <w:rsid w:val="00AA4430"/>
    <w:rsid w:val="00AA4ED4"/>
    <w:rsid w:val="00AC1C41"/>
    <w:rsid w:val="00AC4402"/>
    <w:rsid w:val="00AC5158"/>
    <w:rsid w:val="00AD1E9A"/>
    <w:rsid w:val="00AD7D33"/>
    <w:rsid w:val="00AE0C8D"/>
    <w:rsid w:val="00AE12AC"/>
    <w:rsid w:val="00AE3115"/>
    <w:rsid w:val="00AE5172"/>
    <w:rsid w:val="00AF27F2"/>
    <w:rsid w:val="00AF4F41"/>
    <w:rsid w:val="00AF6B67"/>
    <w:rsid w:val="00B11424"/>
    <w:rsid w:val="00B22386"/>
    <w:rsid w:val="00B225DF"/>
    <w:rsid w:val="00B24C6F"/>
    <w:rsid w:val="00B279B9"/>
    <w:rsid w:val="00B33FEF"/>
    <w:rsid w:val="00B3625E"/>
    <w:rsid w:val="00B37467"/>
    <w:rsid w:val="00B446A3"/>
    <w:rsid w:val="00B558C0"/>
    <w:rsid w:val="00B579AC"/>
    <w:rsid w:val="00B76FAA"/>
    <w:rsid w:val="00B86E5F"/>
    <w:rsid w:val="00B87C4B"/>
    <w:rsid w:val="00B902DE"/>
    <w:rsid w:val="00B92AB9"/>
    <w:rsid w:val="00B93640"/>
    <w:rsid w:val="00B93EAB"/>
    <w:rsid w:val="00B94BBA"/>
    <w:rsid w:val="00B965C3"/>
    <w:rsid w:val="00BA02AD"/>
    <w:rsid w:val="00BA4018"/>
    <w:rsid w:val="00BD0E28"/>
    <w:rsid w:val="00BD3534"/>
    <w:rsid w:val="00BD663A"/>
    <w:rsid w:val="00BD7F8B"/>
    <w:rsid w:val="00BE4B8A"/>
    <w:rsid w:val="00C05D6B"/>
    <w:rsid w:val="00C14907"/>
    <w:rsid w:val="00C304BC"/>
    <w:rsid w:val="00C34035"/>
    <w:rsid w:val="00C41574"/>
    <w:rsid w:val="00C47D05"/>
    <w:rsid w:val="00C5338A"/>
    <w:rsid w:val="00C5616E"/>
    <w:rsid w:val="00C62E33"/>
    <w:rsid w:val="00C64357"/>
    <w:rsid w:val="00C64B3F"/>
    <w:rsid w:val="00C673A4"/>
    <w:rsid w:val="00C67A8E"/>
    <w:rsid w:val="00C724C2"/>
    <w:rsid w:val="00C76168"/>
    <w:rsid w:val="00C76518"/>
    <w:rsid w:val="00C85D78"/>
    <w:rsid w:val="00C95222"/>
    <w:rsid w:val="00C95B31"/>
    <w:rsid w:val="00CA1CD3"/>
    <w:rsid w:val="00CA7920"/>
    <w:rsid w:val="00CB0B57"/>
    <w:rsid w:val="00CB2A33"/>
    <w:rsid w:val="00CB7766"/>
    <w:rsid w:val="00CC00FA"/>
    <w:rsid w:val="00CF1BB5"/>
    <w:rsid w:val="00D00310"/>
    <w:rsid w:val="00D0079A"/>
    <w:rsid w:val="00D02443"/>
    <w:rsid w:val="00D42B04"/>
    <w:rsid w:val="00D435AD"/>
    <w:rsid w:val="00D536DC"/>
    <w:rsid w:val="00D540CE"/>
    <w:rsid w:val="00D77971"/>
    <w:rsid w:val="00D80902"/>
    <w:rsid w:val="00D93231"/>
    <w:rsid w:val="00D97AF3"/>
    <w:rsid w:val="00DA08B3"/>
    <w:rsid w:val="00DA4E25"/>
    <w:rsid w:val="00DB577D"/>
    <w:rsid w:val="00DB75E5"/>
    <w:rsid w:val="00DB7A41"/>
    <w:rsid w:val="00DC2415"/>
    <w:rsid w:val="00DC58DA"/>
    <w:rsid w:val="00DE70FA"/>
    <w:rsid w:val="00DF0534"/>
    <w:rsid w:val="00DF0669"/>
    <w:rsid w:val="00E048D3"/>
    <w:rsid w:val="00E06D98"/>
    <w:rsid w:val="00E14C72"/>
    <w:rsid w:val="00E23E70"/>
    <w:rsid w:val="00E30102"/>
    <w:rsid w:val="00E35150"/>
    <w:rsid w:val="00E40166"/>
    <w:rsid w:val="00E446C6"/>
    <w:rsid w:val="00E5166A"/>
    <w:rsid w:val="00E518C1"/>
    <w:rsid w:val="00E560E0"/>
    <w:rsid w:val="00E6067D"/>
    <w:rsid w:val="00E64F0A"/>
    <w:rsid w:val="00E748F0"/>
    <w:rsid w:val="00E818C1"/>
    <w:rsid w:val="00E82AEC"/>
    <w:rsid w:val="00E90142"/>
    <w:rsid w:val="00E91B2A"/>
    <w:rsid w:val="00E9350B"/>
    <w:rsid w:val="00E96F99"/>
    <w:rsid w:val="00EB4B40"/>
    <w:rsid w:val="00EB6FAE"/>
    <w:rsid w:val="00ED393F"/>
    <w:rsid w:val="00EE6479"/>
    <w:rsid w:val="00EF438E"/>
    <w:rsid w:val="00EF5D19"/>
    <w:rsid w:val="00EF7191"/>
    <w:rsid w:val="00F04183"/>
    <w:rsid w:val="00F074BF"/>
    <w:rsid w:val="00F07B90"/>
    <w:rsid w:val="00F07D14"/>
    <w:rsid w:val="00F109F7"/>
    <w:rsid w:val="00F159A8"/>
    <w:rsid w:val="00F212D5"/>
    <w:rsid w:val="00F221C6"/>
    <w:rsid w:val="00F34DE8"/>
    <w:rsid w:val="00F370C4"/>
    <w:rsid w:val="00F5440D"/>
    <w:rsid w:val="00F575E8"/>
    <w:rsid w:val="00F633A0"/>
    <w:rsid w:val="00F67699"/>
    <w:rsid w:val="00F75C2B"/>
    <w:rsid w:val="00F82645"/>
    <w:rsid w:val="00F90C84"/>
    <w:rsid w:val="00F96424"/>
    <w:rsid w:val="00F976C0"/>
    <w:rsid w:val="00FA4306"/>
    <w:rsid w:val="00FA52FC"/>
    <w:rsid w:val="00FA76A4"/>
    <w:rsid w:val="00FB39B2"/>
    <w:rsid w:val="00FB6AFC"/>
    <w:rsid w:val="00FD6865"/>
    <w:rsid w:val="00FD7945"/>
    <w:rsid w:val="00FE0267"/>
    <w:rsid w:val="00FE355E"/>
    <w:rsid w:val="00FF28E8"/>
    <w:rsid w:val="00FF6811"/>
    <w:rsid w:val="1AEDD7ED"/>
    <w:rsid w:val="4940D6A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35036"/>
  <w15:chartTrackingRefBased/>
  <w15:docId w15:val="{E5C75E5C-F1E9-4911-A7CF-EB6FE37E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6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6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6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6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6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6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6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6C6"/>
    <w:rPr>
      <w:rFonts w:eastAsiaTheme="majorEastAsia" w:cstheme="majorBidi"/>
      <w:color w:val="272727" w:themeColor="text1" w:themeTint="D8"/>
    </w:rPr>
  </w:style>
  <w:style w:type="paragraph" w:styleId="Title">
    <w:name w:val="Title"/>
    <w:basedOn w:val="Normal"/>
    <w:next w:val="Normal"/>
    <w:link w:val="TitleChar"/>
    <w:uiPriority w:val="10"/>
    <w:qFormat/>
    <w:rsid w:val="00E44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6C6"/>
    <w:pPr>
      <w:spacing w:before="160"/>
      <w:jc w:val="center"/>
    </w:pPr>
    <w:rPr>
      <w:i/>
      <w:iCs/>
      <w:color w:val="404040" w:themeColor="text1" w:themeTint="BF"/>
    </w:rPr>
  </w:style>
  <w:style w:type="character" w:customStyle="1" w:styleId="QuoteChar">
    <w:name w:val="Quote Char"/>
    <w:basedOn w:val="DefaultParagraphFont"/>
    <w:link w:val="Quote"/>
    <w:uiPriority w:val="29"/>
    <w:rsid w:val="00E446C6"/>
    <w:rPr>
      <w:i/>
      <w:iCs/>
      <w:color w:val="404040" w:themeColor="text1" w:themeTint="BF"/>
    </w:rPr>
  </w:style>
  <w:style w:type="paragraph" w:styleId="ListParagraph">
    <w:name w:val="List Paragraph"/>
    <w:basedOn w:val="Normal"/>
    <w:uiPriority w:val="34"/>
    <w:qFormat/>
    <w:rsid w:val="00E446C6"/>
    <w:pPr>
      <w:ind w:left="720"/>
      <w:contextualSpacing/>
    </w:pPr>
  </w:style>
  <w:style w:type="character" w:styleId="IntenseEmphasis">
    <w:name w:val="Intense Emphasis"/>
    <w:basedOn w:val="DefaultParagraphFont"/>
    <w:uiPriority w:val="21"/>
    <w:qFormat/>
    <w:rsid w:val="00E446C6"/>
    <w:rPr>
      <w:i/>
      <w:iCs/>
      <w:color w:val="2F5496" w:themeColor="accent1" w:themeShade="BF"/>
    </w:rPr>
  </w:style>
  <w:style w:type="paragraph" w:styleId="IntenseQuote">
    <w:name w:val="Intense Quote"/>
    <w:basedOn w:val="Normal"/>
    <w:next w:val="Normal"/>
    <w:link w:val="IntenseQuoteChar"/>
    <w:uiPriority w:val="30"/>
    <w:qFormat/>
    <w:rsid w:val="00E44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6C6"/>
    <w:rPr>
      <w:i/>
      <w:iCs/>
      <w:color w:val="2F5496" w:themeColor="accent1" w:themeShade="BF"/>
    </w:rPr>
  </w:style>
  <w:style w:type="character" w:styleId="IntenseReference">
    <w:name w:val="Intense Reference"/>
    <w:basedOn w:val="DefaultParagraphFont"/>
    <w:uiPriority w:val="32"/>
    <w:qFormat/>
    <w:rsid w:val="00E446C6"/>
    <w:rPr>
      <w:b/>
      <w:bCs/>
      <w:smallCaps/>
      <w:color w:val="2F5496" w:themeColor="accent1" w:themeShade="BF"/>
      <w:spacing w:val="5"/>
    </w:rPr>
  </w:style>
  <w:style w:type="character" w:styleId="Strong">
    <w:name w:val="Strong"/>
    <w:basedOn w:val="DefaultParagraphFont"/>
    <w:uiPriority w:val="22"/>
    <w:qFormat/>
    <w:rsid w:val="00431FE5"/>
    <w:rPr>
      <w:b/>
      <w:bCs/>
    </w:rPr>
  </w:style>
  <w:style w:type="table" w:styleId="TableGrid">
    <w:name w:val="Table Grid"/>
    <w:basedOn w:val="TableNormal"/>
    <w:uiPriority w:val="59"/>
    <w:rsid w:val="009C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480"/>
    <w:pPr>
      <w:spacing w:after="0" w:line="240" w:lineRule="auto"/>
    </w:pPr>
  </w:style>
  <w:style w:type="paragraph" w:styleId="BodyText">
    <w:name w:val="Body Text"/>
    <w:basedOn w:val="Normal"/>
    <w:link w:val="BodyTextChar"/>
    <w:uiPriority w:val="1"/>
    <w:qFormat/>
    <w:rsid w:val="00AF27F2"/>
    <w:pPr>
      <w:widowControl w:val="0"/>
      <w:autoSpaceDE w:val="0"/>
      <w:autoSpaceDN w:val="0"/>
      <w:adjustRightInd w:val="0"/>
      <w:spacing w:after="0" w:line="240" w:lineRule="auto"/>
      <w:ind w:left="1841" w:hanging="360"/>
    </w:pPr>
    <w:rPr>
      <w:rFonts w:ascii="Corbel" w:eastAsia="Times New Roman" w:hAnsi="Corbel" w:cs="Corbel"/>
      <w:kern w:val="0"/>
      <w:lang w:val="ro-RO" w:eastAsia="ro-RO"/>
      <w14:ligatures w14:val="none"/>
    </w:rPr>
  </w:style>
  <w:style w:type="character" w:customStyle="1" w:styleId="BodyTextChar">
    <w:name w:val="Body Text Char"/>
    <w:basedOn w:val="DefaultParagraphFont"/>
    <w:link w:val="BodyText"/>
    <w:uiPriority w:val="1"/>
    <w:rsid w:val="00AF27F2"/>
    <w:rPr>
      <w:rFonts w:ascii="Corbel" w:eastAsia="Times New Roman" w:hAnsi="Corbel" w:cs="Corbel"/>
      <w:kern w:val="0"/>
      <w:lang w:val="ro-RO" w:eastAsia="ro-RO"/>
      <w14:ligatures w14:val="none"/>
    </w:rPr>
  </w:style>
  <w:style w:type="character" w:customStyle="1" w:styleId="fontstyle01">
    <w:name w:val="fontstyle01"/>
    <w:basedOn w:val="DefaultParagraphFont"/>
    <w:rsid w:val="007B10E3"/>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AE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2AC"/>
  </w:style>
  <w:style w:type="paragraph" w:styleId="Footer">
    <w:name w:val="footer"/>
    <w:basedOn w:val="Normal"/>
    <w:link w:val="FooterChar"/>
    <w:uiPriority w:val="99"/>
    <w:unhideWhenUsed/>
    <w:rsid w:val="00AE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2AC"/>
  </w:style>
  <w:style w:type="character" w:styleId="Hyperlink">
    <w:name w:val="Hyperlink"/>
    <w:uiPriority w:val="99"/>
    <w:unhideWhenUsed/>
    <w:rsid w:val="008A4627"/>
    <w:rPr>
      <w:color w:val="0000FF"/>
      <w:u w:val="single"/>
    </w:rPr>
  </w:style>
  <w:style w:type="character" w:customStyle="1" w:styleId="ui-provider">
    <w:name w:val="ui-provider"/>
    <w:basedOn w:val="DefaultParagraphFont"/>
    <w:rsid w:val="008A4627"/>
  </w:style>
  <w:style w:type="character" w:styleId="UnresolvedMention">
    <w:name w:val="Unresolved Mention"/>
    <w:basedOn w:val="DefaultParagraphFont"/>
    <w:uiPriority w:val="99"/>
    <w:semiHidden/>
    <w:unhideWhenUsed/>
    <w:rsid w:val="00C673A4"/>
    <w:rPr>
      <w:color w:val="605E5C"/>
      <w:shd w:val="clear" w:color="auto" w:fill="E1DFDD"/>
    </w:rPr>
  </w:style>
  <w:style w:type="paragraph" w:styleId="NormalWeb">
    <w:name w:val="Normal (Web)"/>
    <w:basedOn w:val="Normal"/>
    <w:uiPriority w:val="99"/>
    <w:semiHidden/>
    <w:unhideWhenUsed/>
    <w:rsid w:val="004B77C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CommentReference">
    <w:name w:val="annotation reference"/>
    <w:basedOn w:val="DefaultParagraphFont"/>
    <w:uiPriority w:val="99"/>
    <w:semiHidden/>
    <w:unhideWhenUsed/>
    <w:rsid w:val="00181341"/>
    <w:rPr>
      <w:sz w:val="16"/>
      <w:szCs w:val="16"/>
    </w:rPr>
  </w:style>
  <w:style w:type="paragraph" w:styleId="CommentText">
    <w:name w:val="annotation text"/>
    <w:basedOn w:val="Normal"/>
    <w:link w:val="CommentTextChar"/>
    <w:uiPriority w:val="99"/>
    <w:semiHidden/>
    <w:unhideWhenUsed/>
    <w:rsid w:val="00181341"/>
    <w:pPr>
      <w:spacing w:line="240" w:lineRule="auto"/>
    </w:pPr>
    <w:rPr>
      <w:sz w:val="20"/>
      <w:szCs w:val="20"/>
    </w:rPr>
  </w:style>
  <w:style w:type="character" w:customStyle="1" w:styleId="CommentTextChar">
    <w:name w:val="Comment Text Char"/>
    <w:basedOn w:val="DefaultParagraphFont"/>
    <w:link w:val="CommentText"/>
    <w:uiPriority w:val="99"/>
    <w:semiHidden/>
    <w:rsid w:val="00181341"/>
    <w:rPr>
      <w:sz w:val="20"/>
      <w:szCs w:val="20"/>
    </w:rPr>
  </w:style>
  <w:style w:type="paragraph" w:styleId="CommentSubject">
    <w:name w:val="annotation subject"/>
    <w:basedOn w:val="CommentText"/>
    <w:next w:val="CommentText"/>
    <w:link w:val="CommentSubjectChar"/>
    <w:uiPriority w:val="99"/>
    <w:semiHidden/>
    <w:unhideWhenUsed/>
    <w:rsid w:val="00181341"/>
    <w:rPr>
      <w:b/>
      <w:bCs/>
    </w:rPr>
  </w:style>
  <w:style w:type="character" w:customStyle="1" w:styleId="CommentSubjectChar">
    <w:name w:val="Comment Subject Char"/>
    <w:basedOn w:val="CommentTextChar"/>
    <w:link w:val="CommentSubject"/>
    <w:uiPriority w:val="99"/>
    <w:semiHidden/>
    <w:rsid w:val="00181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977">
      <w:bodyDiv w:val="1"/>
      <w:marLeft w:val="0"/>
      <w:marRight w:val="0"/>
      <w:marTop w:val="0"/>
      <w:marBottom w:val="0"/>
      <w:divBdr>
        <w:top w:val="none" w:sz="0" w:space="0" w:color="auto"/>
        <w:left w:val="none" w:sz="0" w:space="0" w:color="auto"/>
        <w:bottom w:val="none" w:sz="0" w:space="0" w:color="auto"/>
        <w:right w:val="none" w:sz="0" w:space="0" w:color="auto"/>
      </w:divBdr>
    </w:div>
    <w:div w:id="72166437">
      <w:bodyDiv w:val="1"/>
      <w:marLeft w:val="0"/>
      <w:marRight w:val="0"/>
      <w:marTop w:val="0"/>
      <w:marBottom w:val="0"/>
      <w:divBdr>
        <w:top w:val="none" w:sz="0" w:space="0" w:color="auto"/>
        <w:left w:val="none" w:sz="0" w:space="0" w:color="auto"/>
        <w:bottom w:val="none" w:sz="0" w:space="0" w:color="auto"/>
        <w:right w:val="none" w:sz="0" w:space="0" w:color="auto"/>
      </w:divBdr>
    </w:div>
    <w:div w:id="107968820">
      <w:bodyDiv w:val="1"/>
      <w:marLeft w:val="0"/>
      <w:marRight w:val="0"/>
      <w:marTop w:val="0"/>
      <w:marBottom w:val="0"/>
      <w:divBdr>
        <w:top w:val="none" w:sz="0" w:space="0" w:color="auto"/>
        <w:left w:val="none" w:sz="0" w:space="0" w:color="auto"/>
        <w:bottom w:val="none" w:sz="0" w:space="0" w:color="auto"/>
        <w:right w:val="none" w:sz="0" w:space="0" w:color="auto"/>
      </w:divBdr>
    </w:div>
    <w:div w:id="641351970">
      <w:bodyDiv w:val="1"/>
      <w:marLeft w:val="0"/>
      <w:marRight w:val="0"/>
      <w:marTop w:val="0"/>
      <w:marBottom w:val="0"/>
      <w:divBdr>
        <w:top w:val="none" w:sz="0" w:space="0" w:color="auto"/>
        <w:left w:val="none" w:sz="0" w:space="0" w:color="auto"/>
        <w:bottom w:val="none" w:sz="0" w:space="0" w:color="auto"/>
        <w:right w:val="none" w:sz="0" w:space="0" w:color="auto"/>
      </w:divBdr>
    </w:div>
    <w:div w:id="855196640">
      <w:bodyDiv w:val="1"/>
      <w:marLeft w:val="0"/>
      <w:marRight w:val="0"/>
      <w:marTop w:val="0"/>
      <w:marBottom w:val="0"/>
      <w:divBdr>
        <w:top w:val="none" w:sz="0" w:space="0" w:color="auto"/>
        <w:left w:val="none" w:sz="0" w:space="0" w:color="auto"/>
        <w:bottom w:val="none" w:sz="0" w:space="0" w:color="auto"/>
        <w:right w:val="none" w:sz="0" w:space="0" w:color="auto"/>
      </w:divBdr>
    </w:div>
    <w:div w:id="866871500">
      <w:bodyDiv w:val="1"/>
      <w:marLeft w:val="0"/>
      <w:marRight w:val="0"/>
      <w:marTop w:val="0"/>
      <w:marBottom w:val="0"/>
      <w:divBdr>
        <w:top w:val="none" w:sz="0" w:space="0" w:color="auto"/>
        <w:left w:val="none" w:sz="0" w:space="0" w:color="auto"/>
        <w:bottom w:val="none" w:sz="0" w:space="0" w:color="auto"/>
        <w:right w:val="none" w:sz="0" w:space="0" w:color="auto"/>
      </w:divBdr>
    </w:div>
    <w:div w:id="1290630793">
      <w:bodyDiv w:val="1"/>
      <w:marLeft w:val="0"/>
      <w:marRight w:val="0"/>
      <w:marTop w:val="0"/>
      <w:marBottom w:val="0"/>
      <w:divBdr>
        <w:top w:val="none" w:sz="0" w:space="0" w:color="auto"/>
        <w:left w:val="none" w:sz="0" w:space="0" w:color="auto"/>
        <w:bottom w:val="none" w:sz="0" w:space="0" w:color="auto"/>
        <w:right w:val="none" w:sz="0" w:space="0" w:color="auto"/>
      </w:divBdr>
    </w:div>
    <w:div w:id="1308164112">
      <w:bodyDiv w:val="1"/>
      <w:marLeft w:val="0"/>
      <w:marRight w:val="0"/>
      <w:marTop w:val="0"/>
      <w:marBottom w:val="0"/>
      <w:divBdr>
        <w:top w:val="none" w:sz="0" w:space="0" w:color="auto"/>
        <w:left w:val="none" w:sz="0" w:space="0" w:color="auto"/>
        <w:bottom w:val="none" w:sz="0" w:space="0" w:color="auto"/>
        <w:right w:val="none" w:sz="0" w:space="0" w:color="auto"/>
      </w:divBdr>
    </w:div>
    <w:div w:id="1586645897">
      <w:bodyDiv w:val="1"/>
      <w:marLeft w:val="0"/>
      <w:marRight w:val="0"/>
      <w:marTop w:val="0"/>
      <w:marBottom w:val="0"/>
      <w:divBdr>
        <w:top w:val="none" w:sz="0" w:space="0" w:color="auto"/>
        <w:left w:val="none" w:sz="0" w:space="0" w:color="auto"/>
        <w:bottom w:val="none" w:sz="0" w:space="0" w:color="auto"/>
        <w:right w:val="none" w:sz="0" w:space="0" w:color="auto"/>
      </w:divBdr>
    </w:div>
    <w:div w:id="1739672474">
      <w:bodyDiv w:val="1"/>
      <w:marLeft w:val="0"/>
      <w:marRight w:val="0"/>
      <w:marTop w:val="0"/>
      <w:marBottom w:val="0"/>
      <w:divBdr>
        <w:top w:val="none" w:sz="0" w:space="0" w:color="auto"/>
        <w:left w:val="none" w:sz="0" w:space="0" w:color="auto"/>
        <w:bottom w:val="none" w:sz="0" w:space="0" w:color="auto"/>
        <w:right w:val="none" w:sz="0" w:space="0" w:color="auto"/>
      </w:divBdr>
    </w:div>
    <w:div w:id="1750155599">
      <w:bodyDiv w:val="1"/>
      <w:marLeft w:val="0"/>
      <w:marRight w:val="0"/>
      <w:marTop w:val="0"/>
      <w:marBottom w:val="0"/>
      <w:divBdr>
        <w:top w:val="none" w:sz="0" w:space="0" w:color="auto"/>
        <w:left w:val="none" w:sz="0" w:space="0" w:color="auto"/>
        <w:bottom w:val="none" w:sz="0" w:space="0" w:color="auto"/>
        <w:right w:val="none" w:sz="0" w:space="0" w:color="auto"/>
      </w:divBdr>
    </w:div>
    <w:div w:id="1951935395">
      <w:bodyDiv w:val="1"/>
      <w:marLeft w:val="0"/>
      <w:marRight w:val="0"/>
      <w:marTop w:val="0"/>
      <w:marBottom w:val="0"/>
      <w:divBdr>
        <w:top w:val="none" w:sz="0" w:space="0" w:color="auto"/>
        <w:left w:val="none" w:sz="0" w:space="0" w:color="auto"/>
        <w:bottom w:val="none" w:sz="0" w:space="0" w:color="auto"/>
        <w:right w:val="none" w:sz="0" w:space="0" w:color="auto"/>
      </w:divBdr>
      <w:divsChild>
        <w:div w:id="664555245">
          <w:marLeft w:val="0"/>
          <w:marRight w:val="0"/>
          <w:marTop w:val="0"/>
          <w:marBottom w:val="0"/>
          <w:divBdr>
            <w:top w:val="none" w:sz="0" w:space="0" w:color="auto"/>
            <w:left w:val="none" w:sz="0" w:space="0" w:color="auto"/>
            <w:bottom w:val="none" w:sz="0" w:space="0" w:color="auto"/>
            <w:right w:val="none" w:sz="0" w:space="0" w:color="auto"/>
          </w:divBdr>
        </w:div>
      </w:divsChild>
    </w:div>
    <w:div w:id="1976640776">
      <w:bodyDiv w:val="1"/>
      <w:marLeft w:val="0"/>
      <w:marRight w:val="0"/>
      <w:marTop w:val="0"/>
      <w:marBottom w:val="0"/>
      <w:divBdr>
        <w:top w:val="none" w:sz="0" w:space="0" w:color="auto"/>
        <w:left w:val="none" w:sz="0" w:space="0" w:color="auto"/>
        <w:bottom w:val="none" w:sz="0" w:space="0" w:color="auto"/>
        <w:right w:val="none" w:sz="0" w:space="0" w:color="auto"/>
      </w:divBdr>
    </w:div>
    <w:div w:id="1995597228">
      <w:bodyDiv w:val="1"/>
      <w:marLeft w:val="0"/>
      <w:marRight w:val="0"/>
      <w:marTop w:val="0"/>
      <w:marBottom w:val="0"/>
      <w:divBdr>
        <w:top w:val="none" w:sz="0" w:space="0" w:color="auto"/>
        <w:left w:val="none" w:sz="0" w:space="0" w:color="auto"/>
        <w:bottom w:val="none" w:sz="0" w:space="0" w:color="auto"/>
        <w:right w:val="none" w:sz="0" w:space="0" w:color="auto"/>
      </w:divBdr>
    </w:div>
    <w:div w:id="2023585380">
      <w:bodyDiv w:val="1"/>
      <w:marLeft w:val="0"/>
      <w:marRight w:val="0"/>
      <w:marTop w:val="0"/>
      <w:marBottom w:val="0"/>
      <w:divBdr>
        <w:top w:val="none" w:sz="0" w:space="0" w:color="auto"/>
        <w:left w:val="none" w:sz="0" w:space="0" w:color="auto"/>
        <w:bottom w:val="none" w:sz="0" w:space="0" w:color="auto"/>
        <w:right w:val="none" w:sz="0" w:space="0" w:color="auto"/>
      </w:divBdr>
    </w:div>
    <w:div w:id="2062122974">
      <w:bodyDiv w:val="1"/>
      <w:marLeft w:val="0"/>
      <w:marRight w:val="0"/>
      <w:marTop w:val="0"/>
      <w:marBottom w:val="0"/>
      <w:divBdr>
        <w:top w:val="none" w:sz="0" w:space="0" w:color="auto"/>
        <w:left w:val="none" w:sz="0" w:space="0" w:color="auto"/>
        <w:bottom w:val="none" w:sz="0" w:space="0" w:color="auto"/>
        <w:right w:val="none" w:sz="0" w:space="0" w:color="auto"/>
      </w:divBdr>
      <w:divsChild>
        <w:div w:id="1212035121">
          <w:marLeft w:val="0"/>
          <w:marRight w:val="0"/>
          <w:marTop w:val="0"/>
          <w:marBottom w:val="0"/>
          <w:divBdr>
            <w:top w:val="none" w:sz="0" w:space="0" w:color="auto"/>
            <w:left w:val="none" w:sz="0" w:space="0" w:color="auto"/>
            <w:bottom w:val="none" w:sz="0" w:space="0" w:color="auto"/>
            <w:right w:val="none" w:sz="0" w:space="0" w:color="auto"/>
          </w:divBdr>
        </w:div>
        <w:div w:id="174772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uliana.cupcinenco@concordia.m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ldova@concordia.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F8D7C3F605F4887A053A4CD32DA61" ma:contentTypeVersion="15" ma:contentTypeDescription="Create a new document." ma:contentTypeScope="" ma:versionID="55ee4e4866ed9ffaa7f1a58b1c6b42a4">
  <xsd:schema xmlns:xsd="http://www.w3.org/2001/XMLSchema" xmlns:xs="http://www.w3.org/2001/XMLSchema" xmlns:p="http://schemas.microsoft.com/office/2006/metadata/properties" xmlns:ns2="89e62bda-0c52-4a98-956e-5558b5db2a6d" xmlns:ns3="7bba3ffa-211b-4c22-bcf6-02151f6a844c" targetNamespace="http://schemas.microsoft.com/office/2006/metadata/properties" ma:root="true" ma:fieldsID="13d52f8079f76567eadab33df1a81e54" ns2:_="" ns3:_="">
    <xsd:import namespace="89e62bda-0c52-4a98-956e-5558b5db2a6d"/>
    <xsd:import namespace="7bba3ffa-211b-4c22-bcf6-02151f6a84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2bda-0c52-4a98-956e-5558b5db2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8a12f7f-00be-4da5-9475-ffa05bc80321}" ma:internalName="TaxCatchAll" ma:showField="CatchAllData" ma:web="89e62bda-0c52-4a98-956e-5558b5db2a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a3ffa-211b-4c22-bcf6-02151f6a84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2fe5f3-84f9-492f-a0bc-7699d05e11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a3ffa-211b-4c22-bcf6-02151f6a844c">
      <Terms xmlns="http://schemas.microsoft.com/office/infopath/2007/PartnerControls"/>
    </lcf76f155ced4ddcb4097134ff3c332f>
    <TaxCatchAll xmlns="89e62bda-0c52-4a98-956e-5558b5db2a6d" xsi:nil="true"/>
  </documentManagement>
</p:properties>
</file>

<file path=customXml/itemProps1.xml><?xml version="1.0" encoding="utf-8"?>
<ds:datastoreItem xmlns:ds="http://schemas.openxmlformats.org/officeDocument/2006/customXml" ds:itemID="{03436C89-6403-45A8-8336-746754954B98}">
  <ds:schemaRefs>
    <ds:schemaRef ds:uri="http://schemas.microsoft.com/sharepoint/v3/contenttype/forms"/>
  </ds:schemaRefs>
</ds:datastoreItem>
</file>

<file path=customXml/itemProps2.xml><?xml version="1.0" encoding="utf-8"?>
<ds:datastoreItem xmlns:ds="http://schemas.openxmlformats.org/officeDocument/2006/customXml" ds:itemID="{BFB43E30-732F-433C-B118-8DCF007A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2bda-0c52-4a98-956e-5558b5db2a6d"/>
    <ds:schemaRef ds:uri="7bba3ffa-211b-4c22-bcf6-02151f6a8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E4668-C5A9-44E9-A4AE-01AB89C7B69D}">
  <ds:schemaRefs>
    <ds:schemaRef ds:uri="http://schemas.microsoft.com/office/2006/metadata/properties"/>
    <ds:schemaRef ds:uri="http://schemas.microsoft.com/office/infopath/2007/PartnerControls"/>
    <ds:schemaRef ds:uri="7bba3ffa-211b-4c22-bcf6-02151f6a844c"/>
    <ds:schemaRef ds:uri="89e62bda-0c52-4a98-956e-5558b5db2a6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1456</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Cupcinenco</dc:creator>
  <cp:keywords/>
  <dc:description/>
  <cp:lastModifiedBy>Iuliana Cupcinenco</cp:lastModifiedBy>
  <cp:revision>21</cp:revision>
  <cp:lastPrinted>2025-03-19T12:13:00Z</cp:lastPrinted>
  <dcterms:created xsi:type="dcterms:W3CDTF">2026-05-13T10:20:00Z</dcterms:created>
  <dcterms:modified xsi:type="dcterms:W3CDTF">2026-05-20T08:07:00Z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0x010100EAEF8D7C3F605F4887A053A4CD32DA61</vt:lpwstr>
  </property>
  <property fmtid="{D5CDD505-2E9C-101B-9397-08002B2CF9AE}" pid="3" name="MediaServiceImageTags">
    <vt:lpwstr/>
  </property>
</Properties>
</file>